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76"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61" w:firstLine="659"/>
        <w:jc w:val="both"/>
        <w:rPr/>
      </w:pPr>
      <w:r>
        <w:rPr>
          <w:rFonts w:eastAsia="Times New Roman" w:cs="Times New Roman" w:ascii="Times New Roman" w:hAnsi="Times New Roman"/>
          <w:color w:val="000000" w:themeColor="text1"/>
          <w:sz w:val="24"/>
          <w:szCs w:val="24"/>
        </w:rPr>
        <w:t xml:space="preserve">На основу Одлуке Oпштинског већа о расписивању Јавног позива за учешће привредних субјеката у спровођењу мера енергетске санације породичних кућа и станова на територији општине Ада број </w:t>
      </w:r>
      <w:r>
        <w:rPr>
          <w:rFonts w:eastAsia="Times New Roman" w:cs="Times New Roman" w:ascii="Times New Roman" w:hAnsi="Times New Roman"/>
          <w:color w:val="000000" w:themeColor="text1"/>
          <w:sz w:val="24"/>
          <w:szCs w:val="24"/>
          <w:lang w:val="sr-RS"/>
        </w:rPr>
        <w:t>020-5-107/2024-03</w:t>
      </w:r>
      <w:r>
        <w:rPr>
          <w:rFonts w:eastAsia="Times New Roman" w:cs="Times New Roman" w:ascii="Times New Roman" w:hAnsi="Times New Roman"/>
          <w:color w:val="000000" w:themeColor="text1"/>
          <w:sz w:val="24"/>
          <w:szCs w:val="24"/>
        </w:rPr>
        <w:t xml:space="preserve"> од </w:t>
      </w:r>
      <w:r>
        <w:rPr>
          <w:rFonts w:eastAsia="Times New Roman" w:cs="Times New Roman" w:ascii="Times New Roman" w:hAnsi="Times New Roman"/>
          <w:color w:val="000000" w:themeColor="text1"/>
          <w:sz w:val="24"/>
          <w:szCs w:val="24"/>
          <w:lang w:val="sr-RS"/>
        </w:rPr>
        <w:t>25.07.2024.</w:t>
      </w:r>
      <w:r>
        <w:rPr>
          <w:rFonts w:eastAsia="Times New Roman" w:cs="Times New Roman" w:ascii="Times New Roman" w:hAnsi="Times New Roman"/>
          <w:color w:val="000000" w:themeColor="text1"/>
          <w:sz w:val="24"/>
          <w:szCs w:val="24"/>
        </w:rPr>
        <w:t xml:space="preserve"> године (у даљем тексту: Одлука) и Правилника о суфинансирању мера енергетске санације породичних кућа и станова у оквиру пројекта „Чиста енергија и енергетска ефикасност за грађане у Србији“ број 020-5-99/2024-03 од 11.06.2024. године (у даљем тексту: Правилник), општина Ада дана </w:t>
      </w:r>
      <w:r>
        <w:rPr>
          <w:rFonts w:eastAsia="Times New Roman" w:cs="Times New Roman" w:ascii="Times New Roman" w:hAnsi="Times New Roman"/>
          <w:color w:val="000000" w:themeColor="text1"/>
          <w:sz w:val="24"/>
          <w:szCs w:val="24"/>
          <w:lang w:val="sr-RS"/>
        </w:rPr>
        <w:t>25.07.2024</w:t>
      </w:r>
      <w:r>
        <w:rPr>
          <w:rFonts w:eastAsia="Times New Roman" w:cs="Times New Roman" w:ascii="Times New Roman" w:hAnsi="Times New Roman"/>
          <w:color w:val="000000" w:themeColor="text1"/>
          <w:sz w:val="24"/>
          <w:szCs w:val="24"/>
        </w:rPr>
        <w:t>. године расписује</w:t>
      </w:r>
    </w:p>
    <w:p>
      <w:pPr>
        <w:pStyle w:val="Normal"/>
        <w:spacing w:lineRule="auto" w:line="240" w:before="0" w:after="0"/>
        <w:ind w:left="61" w:firstLine="659"/>
        <w:jc w:val="both"/>
        <w:rPr>
          <w:rFonts w:ascii="Times New Roman" w:hAnsi="Times New Roman" w:cs="Times New Roman"/>
          <w:color w:val="000000"/>
          <w:sz w:val="24"/>
          <w:szCs w:val="24"/>
        </w:rPr>
      </w:pPr>
      <w:bookmarkStart w:id="0" w:name="_Hlk70698172"/>
      <w:bookmarkStart w:id="1" w:name="_Hlk70968889"/>
      <w:bookmarkEnd w:id="0"/>
      <w:bookmarkEnd w:id="1"/>
      <w:r>
        <w:rPr>
          <w:rFonts w:cs="Times New Roman" w:ascii="Times New Roman" w:hAnsi="Times New Roman"/>
          <w:color w:val="000000" w:themeColor="text1"/>
          <w:sz w:val="24"/>
          <w:szCs w:val="24"/>
        </w:rPr>
        <w:t xml:space="preserve"> </w:t>
      </w:r>
    </w:p>
    <w:p>
      <w:pPr>
        <w:pStyle w:val="Normal"/>
        <w:shd w:val="clear" w:color="auto" w:fill="FFFFFF"/>
        <w:spacing w:lineRule="auto" w:line="276" w:before="0" w:after="0"/>
        <w:rPr/>
      </w:pPr>
      <w:r>
        <w:rPr/>
      </w:r>
      <w:bookmarkStart w:id="2" w:name="_Hlk136516112"/>
      <w:bookmarkStart w:id="3" w:name="_Hlk136516112"/>
      <w:bookmarkEnd w:id="3"/>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ЈАВНИ ПОЗИВ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contextualSpacing/>
        <w:jc w:val="center"/>
        <w:rPr/>
      </w:pPr>
      <w:bookmarkStart w:id="4" w:name="_Hlk70969037"/>
      <w:r>
        <w:rPr>
          <w:rFonts w:cs="Times New Roman" w:ascii="Times New Roman" w:hAnsi="Times New Roman"/>
          <w:b/>
          <w:bCs/>
          <w:sz w:val="24"/>
          <w:szCs w:val="24"/>
        </w:rPr>
        <w:t xml:space="preserve">за учешће директних корисника (привредних субјеката) у спровођењу мера енергетске </w:t>
      </w:r>
      <w:r>
        <w:rPr>
          <w:rFonts w:eastAsia="Times New Roman" w:cs="Times New Roman" w:ascii="Times New Roman" w:hAnsi="Times New Roman"/>
          <w:b/>
          <w:bCs/>
          <w:sz w:val="24"/>
          <w:szCs w:val="24"/>
        </w:rPr>
        <w:t>санације</w:t>
      </w:r>
      <w:r>
        <w:rPr>
          <w:rFonts w:eastAsia="Times New Roman" w:cs="Times New Roman" w:ascii="Times New Roman" w:hAnsi="Times New Roman"/>
          <w:sz w:val="24"/>
          <w:szCs w:val="24"/>
        </w:rPr>
        <w:t xml:space="preserve"> </w:t>
      </w:r>
      <w:r>
        <w:rPr>
          <w:rFonts w:cs="Times New Roman" w:ascii="Times New Roman" w:hAnsi="Times New Roman"/>
          <w:b/>
          <w:bCs/>
          <w:sz w:val="24"/>
          <w:szCs w:val="24"/>
        </w:rPr>
        <w:t xml:space="preserve"> породичних кућа и станова на територији општине </w:t>
      </w:r>
      <w:bookmarkEnd w:id="4"/>
      <w:r>
        <w:rPr>
          <w:rFonts w:cs="Times New Roman" w:ascii="Times New Roman" w:hAnsi="Times New Roman"/>
          <w:b/>
          <w:bCs/>
          <w:sz w:val="24"/>
          <w:szCs w:val="24"/>
        </w:rPr>
        <w:t>Ада</w:t>
      </w:r>
    </w:p>
    <w:p>
      <w:pPr>
        <w:pStyle w:val="Normal"/>
        <w:spacing w:lineRule="auto" w:line="276" w:before="0" w:after="0"/>
        <w:ind w:firstLine="72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20"/>
        <w:jc w:val="both"/>
        <w:rPr/>
      </w:pPr>
      <w:r>
        <w:rPr>
          <w:rFonts w:eastAsia="Times New Roman" w:cs="Times New Roman" w:ascii="Times New Roman" w:hAnsi="Times New Roman"/>
          <w:sz w:val="24"/>
          <w:szCs w:val="24"/>
        </w:rPr>
        <w:t>У складу са чланом 12. Правилника</w:t>
      </w:r>
      <w:r>
        <w:rPr>
          <w:rFonts w:eastAsia="Times New Roman" w:cs="Times New Roman" w:ascii="Times New Roman" w:hAnsi="Times New Roman"/>
          <w:i/>
          <w:iCs/>
          <w:sz w:val="24"/>
          <w:szCs w:val="24"/>
        </w:rPr>
        <w:t xml:space="preserve"> </w:t>
      </w:r>
      <w:r>
        <w:rPr>
          <w:rFonts w:eastAsia="Times New Roman" w:cs="Times New Roman" w:ascii="Times New Roman" w:hAnsi="Times New Roman"/>
          <w:sz w:val="24"/>
          <w:szCs w:val="24"/>
        </w:rPr>
        <w:t>расписује се Јавни позив за учешће директних корисника (привредних субјеката) у спровођењу мера енергетске санације  породичних кућа и станова на територији општине Ада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општине Ада. Домаћинства која испуњавају услове за доделу средстава на основу Јавног позива за суфинансирање мера енергетске санације породичних кућа и станова на територији општине Ада за 2024. годину могу набавити добра или услуге искључиво од привредних субјеката изабраних путем овог јавног позива.</w:t>
      </w:r>
    </w:p>
    <w:p>
      <w:pPr>
        <w:pStyle w:val="Normal"/>
        <w:spacing w:lineRule="auto" w:line="276" w:before="0" w:after="0"/>
        <w:ind w:firstLine="720"/>
        <w:jc w:val="both"/>
        <w:rPr/>
      </w:pPr>
      <w:r>
        <w:rPr>
          <w:rFonts w:eastAsia="Times New Roman" w:cs="Times New Roman" w:ascii="Times New Roman" w:hAnsi="Times New Roman"/>
          <w:sz w:val="24"/>
          <w:szCs w:val="24"/>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Ада.</w:t>
      </w:r>
    </w:p>
    <w:p>
      <w:pPr>
        <w:pStyle w:val="Normal"/>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lang w:val="sr-Latn-RS"/>
        </w:rPr>
        <w:t>I</w:t>
      </w:r>
      <w:r>
        <w:rPr>
          <w:rFonts w:cs="Times New Roman" w:ascii="Times New Roman" w:hAnsi="Times New Roman"/>
          <w:b/>
          <w:bCs/>
          <w:sz w:val="24"/>
          <w:szCs w:val="24"/>
        </w:rPr>
        <w:t>.</w:t>
      </w:r>
      <w:r>
        <w:rPr>
          <w:rFonts w:cs="Times New Roman" w:ascii="Times New Roman" w:hAnsi="Times New Roman"/>
          <w:b/>
          <w:bCs/>
          <w:sz w:val="24"/>
          <w:szCs w:val="24"/>
          <w:lang w:val="sr-Latn-RS"/>
        </w:rPr>
        <w:t xml:space="preserve"> </w:t>
      </w:r>
      <w:r>
        <w:rPr>
          <w:rFonts w:cs="Times New Roman" w:ascii="Times New Roman" w:hAnsi="Times New Roman"/>
          <w:b/>
          <w:bCs/>
          <w:sz w:val="24"/>
          <w:szCs w:val="24"/>
        </w:rPr>
        <w:t>ПРЕДМЕТ И КРИТЕРИЈУМИ ЕНЕРГЕТСКЕ ЕФИКАСНОСТИ</w:t>
      </w:r>
    </w:p>
    <w:p>
      <w:pPr>
        <w:pStyle w:val="Normal"/>
        <w:spacing w:lineRule="auto" w:line="276" w:before="0" w:after="0"/>
        <w:contextualSpacing/>
        <w:jc w:val="both"/>
        <w:rPr>
          <w:rFonts w:ascii="Times New Roman" w:hAnsi="Times New Roman" w:cs="Times New Roman"/>
          <w:sz w:val="24"/>
          <w:szCs w:val="24"/>
          <w:lang w:val="sr-Latn-RS"/>
        </w:rPr>
      </w:pPr>
      <w:r>
        <w:rPr>
          <w:rFonts w:cs="Times New Roman" w:ascii="Times New Roman" w:hAnsi="Times New Roman"/>
          <w:sz w:val="24"/>
          <w:szCs w:val="24"/>
          <w:lang w:val="sr-Latn-RS"/>
        </w:rPr>
      </w:r>
    </w:p>
    <w:p>
      <w:pPr>
        <w:pStyle w:val="Normal"/>
        <w:spacing w:lineRule="auto" w:line="276" w:before="0" w:after="0"/>
        <w:ind w:firstLine="720"/>
        <w:contextualSpacing/>
        <w:jc w:val="both"/>
        <w:rPr>
          <w:rFonts w:ascii="Times New Roman" w:hAnsi="Times New Roman" w:eastAsia="Calibri" w:cs="Times New Roman"/>
          <w:sz w:val="24"/>
          <w:szCs w:val="24"/>
        </w:rPr>
      </w:pPr>
      <w:r>
        <w:rPr>
          <w:rFonts w:cs="Times New Roman" w:ascii="Times New Roman" w:hAnsi="Times New Roman"/>
          <w:sz w:val="24"/>
          <w:szCs w:val="24"/>
        </w:rPr>
        <w:t>Предмет Јавног позива  је спровођење следећих мера енергетске ефикасности:</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lang w:val="sr-Latn-CS"/>
        </w:rPr>
        <w:t>1)</w:t>
      </w:r>
      <w:r>
        <w:rPr>
          <w:rFonts w:eastAsia="Calibri" w:cs="Times New Roman" w:ascii="Times New Roman" w:hAnsi="Times New Roman"/>
          <w:b/>
          <w:bCs/>
          <w:sz w:val="24"/>
          <w:szCs w:val="24"/>
        </w:rPr>
        <w:t xml:space="preserve"> Замена спољних прозора и врата и других транспарентних елемената термичког омотача</w:t>
      </w:r>
    </w:p>
    <w:p>
      <w:pPr>
        <w:pStyle w:val="Normal"/>
        <w:spacing w:lineRule="auto" w:line="240" w:before="0" w:after="0"/>
        <w:ind w:firstLine="720"/>
        <w:jc w:val="both"/>
        <w:rPr>
          <w:rFonts w:ascii="Times New Roman" w:hAnsi="Times New Roman" w:eastAsia="Calibri" w:cs="Times New Roman"/>
          <w:sz w:val="24"/>
          <w:szCs w:val="24"/>
        </w:rPr>
      </w:pPr>
      <w:r>
        <w:rPr>
          <w:rFonts w:eastAsia="Calibri" w:cs="Times New Roman" w:ascii="Times New Roman" w:hAnsi="Times New Roman"/>
          <w:sz w:val="24"/>
          <w:szCs w:val="24"/>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 Спољна столарија са следећим минималним техничким карактеристикама (</w:t>
      </w:r>
      <w:r>
        <w:rPr>
          <w:rFonts w:eastAsia="Calibri" w:cs="Times New Roman" w:ascii="Times New Roman" w:hAnsi="Times New Roman"/>
          <w:sz w:val="24"/>
          <w:szCs w:val="24"/>
          <w:lang w:val="en-US"/>
        </w:rPr>
        <w:t>U</w:t>
      </w:r>
      <w:r>
        <w:rPr>
          <w:rFonts w:eastAsia="Calibri" w:cs="Times New Roman" w:ascii="Times New Roman" w:hAnsi="Times New Roman"/>
          <w:sz w:val="24"/>
          <w:szCs w:val="24"/>
        </w:rPr>
        <w:t xml:space="preserve">-коефицијент пролаза топлоте),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U≤ 1.3 W/m2К за комплетан порзор (када је атест рађен за цео склоп стакла и рама)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U≤ 1.3 W/m2К за остакљење прозора и балконских врата (када је атест рађен за транспарентнт површине),</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U≤ 1.3 W/m2К за профиле прозора и балконских врата (када је атест рађен за рам) и</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U≤ 1.6 W/m2К за врата ка негрејаним просторима.</w:t>
      </w:r>
    </w:p>
    <w:p>
      <w:pPr>
        <w:pStyle w:val="Normal"/>
        <w:spacing w:lineRule="auto" w:line="240" w:before="0" w:after="0"/>
        <w:jc w:val="both"/>
        <w:rPr>
          <w:rFonts w:ascii="Times New Roman" w:hAnsi="Times New Roman" w:eastAsia="Calibri" w:cs="Times New Roman"/>
          <w:sz w:val="24"/>
          <w:szCs w:val="24"/>
          <w:lang w:val="sr-Latn-CS"/>
        </w:rPr>
      </w:pPr>
      <w:r>
        <w:rPr>
          <w:rFonts w:eastAsia="Calibri" w:cs="Times New Roman" w:ascii="Times New Roman" w:hAnsi="Times New Roman"/>
          <w:sz w:val="24"/>
          <w:szCs w:val="24"/>
        </w:rPr>
        <w:t xml:space="preserve"> </w:t>
      </w:r>
    </w:p>
    <w:p>
      <w:pPr>
        <w:pStyle w:val="Normal"/>
        <w:spacing w:lineRule="auto" w:line="240" w:before="0" w:after="0"/>
        <w:contextualSpacing/>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2) Постављања термичке изолације спољних зидова, подова на тлу и осталих делова термичког омотача према негрејаном простору</w:t>
      </w:r>
    </w:p>
    <w:p>
      <w:pPr>
        <w:pStyle w:val="Normal"/>
        <w:spacing w:lineRule="auto" w:line="240" w:before="0" w:after="0"/>
        <w:ind w:firstLine="72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Овом мером је неопходно испунити следећи критеријум енергетске ефикасности: </w:t>
      </w:r>
    </w:p>
    <w:p>
      <w:pPr>
        <w:pStyle w:val="ListParagraph"/>
        <w:numPr>
          <w:ilvl w:val="0"/>
          <w:numId w:val="4"/>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минимална дебљина термичке изолације на спољним зидовима мора износити 10 cm, осим уколико не постоји техничка могућност да се постави та дебљина изолације. </w:t>
      </w:r>
    </w:p>
    <w:p>
      <w:pPr>
        <w:pStyle w:val="Normal"/>
        <w:tabs>
          <w:tab w:val="left" w:pos="360" w:leader="none"/>
        </w:tabs>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contextualSpacing/>
        <w:jc w:val="both"/>
        <w:rPr>
          <w:rFonts w:ascii="Times New Roman" w:hAnsi="Times New Roman" w:eastAsia="Calibri" w:cs="Times New Roman"/>
          <w:sz w:val="24"/>
          <w:szCs w:val="24"/>
        </w:rPr>
      </w:pPr>
      <w:r>
        <w:rPr>
          <w:rStyle w:val="Markedcontent"/>
          <w:rFonts w:cs="Times New Roman" w:ascii="Times New Roman" w:hAnsi="Times New Roman"/>
          <w:b/>
          <w:bCs/>
          <w:sz w:val="24"/>
          <w:szCs w:val="24"/>
        </w:rPr>
        <w:t>3) Постављања термичке изолације испод кровног покривача или таванице</w:t>
      </w:r>
    </w:p>
    <w:p>
      <w:pPr>
        <w:pStyle w:val="Normal"/>
        <w:spacing w:lineRule="auto" w:line="240" w:before="0" w:after="0"/>
        <w:ind w:firstLine="72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У оквиру ове мере могуће је извршити и уградњу и набавку материјала за топлотну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pPr>
        <w:pStyle w:val="Normal"/>
        <w:spacing w:lineRule="auto" w:line="240" w:before="0" w:after="0"/>
        <w:ind w:firstLine="72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Овом мером је неопходно испунити следећи критеријум енергетске ефикасности: </w:t>
      </w:r>
    </w:p>
    <w:p>
      <w:pPr>
        <w:pStyle w:val="ListParagraph"/>
        <w:numPr>
          <w:ilvl w:val="0"/>
          <w:numId w:val="4"/>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минимална дебљина топлотне изолације крова или таванице изнад грејаног простора мора износити 20 cm, осим ако не постоји техничка могућност да се постави та дебљина изолације.</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contextualSpacing/>
        <w:rPr>
          <w:rFonts w:ascii="Times New Roman" w:hAnsi="Times New Roman" w:eastAsia="Calibri" w:cs="Times New Roman"/>
          <w:b/>
          <w:b/>
          <w:bCs/>
          <w:sz w:val="24"/>
          <w:szCs w:val="24"/>
        </w:rPr>
      </w:pPr>
      <w:r>
        <w:rPr>
          <w:rFonts w:eastAsia="Calibri" w:cs="Times New Roman" w:ascii="Times New Roman" w:hAnsi="Times New Roman"/>
          <w:b/>
          <w:bCs/>
          <w:sz w:val="24"/>
          <w:szCs w:val="24"/>
        </w:rPr>
        <w:t>4) Замена постојећег грејача простора на чврсто гориво (котао или пећ) ефикаснијим котлом на гас</w:t>
      </w:r>
    </w:p>
    <w:p>
      <w:pPr>
        <w:pStyle w:val="Normal"/>
        <w:spacing w:lineRule="auto" w:line="240" w:before="0" w:after="0"/>
        <w:ind w:firstLine="720"/>
        <w:contextualSpacing/>
        <w:jc w:val="both"/>
        <w:rPr>
          <w:rFonts w:ascii="Times New Roman" w:hAnsi="Times New Roman" w:cs="Times New Roman"/>
          <w:sz w:val="24"/>
          <w:szCs w:val="24"/>
        </w:rPr>
      </w:pPr>
      <w:r>
        <w:rPr>
          <w:rFonts w:cs="Times New Roman" w:ascii="Times New Roman" w:hAnsi="Times New Roman"/>
          <w:sz w:val="24"/>
          <w:szCs w:val="24"/>
        </w:rPr>
        <w:t>У оквиру ове мере могуће је извршити набавку и инсталацију котлова на природни гас, грејача простора, или замена постојећег грејача простора (котао или пећ) ефикаснијим за породичне куће</w:t>
      </w:r>
      <w:r>
        <w:rPr>
          <w:rFonts w:eastAsia="Calibri" w:cs="Times New Roman" w:ascii="Times New Roman" w:hAnsi="Times New Roman"/>
          <w:sz w:val="24"/>
          <w:szCs w:val="24"/>
          <w:lang w:val="sr-Latn-CS"/>
        </w:rPr>
        <w:t>.</w:t>
      </w:r>
    </w:p>
    <w:p>
      <w:pPr>
        <w:pStyle w:val="Normal"/>
        <w:spacing w:lineRule="auto" w:line="240" w:before="0" w:after="0"/>
        <w:ind w:firstLine="720"/>
        <w:contextualSpacing/>
        <w:jc w:val="both"/>
        <w:rPr>
          <w:rFonts w:ascii="Times New Roman" w:hAnsi="Times New Roman" w:cs="Times New Roman"/>
          <w:sz w:val="24"/>
          <w:szCs w:val="24"/>
        </w:rPr>
      </w:pPr>
      <w:r>
        <w:rPr>
          <w:rFonts w:cs="Times New Roman" w:ascii="Times New Roman" w:hAnsi="Times New Roman"/>
          <w:sz w:val="24"/>
          <w:szCs w:val="24"/>
        </w:rPr>
        <w:t xml:space="preserve">Овом мером је неопходно испунити следећи критеријум енергетске ефикасности: </w:t>
      </w:r>
    </w:p>
    <w:p>
      <w:pPr>
        <w:pStyle w:val="ListParagraph"/>
        <w:numPr>
          <w:ilvl w:val="0"/>
          <w:numId w:val="4"/>
        </w:numPr>
        <w:spacing w:lineRule="auto" w:line="240" w:before="0" w:after="0"/>
        <w:contextualSpacing/>
        <w:jc w:val="both"/>
        <w:rPr>
          <w:rFonts w:ascii="Times New Roman" w:hAnsi="Times New Roman" w:eastAsia="Calibri" w:cs="Times New Roman"/>
          <w:b/>
          <w:b/>
          <w:bCs/>
          <w:sz w:val="24"/>
          <w:szCs w:val="24"/>
          <w:u w:val="single"/>
        </w:rPr>
      </w:pPr>
      <w:r>
        <w:rPr>
          <w:rFonts w:cs="Times New Roman" w:ascii="Times New Roman" w:hAnsi="Times New Roman"/>
          <w:sz w:val="24"/>
          <w:szCs w:val="24"/>
        </w:rPr>
        <w:t xml:space="preserve">минимални степен корисности котла (грејача простора) који користи природни гас </w:t>
      </w:r>
      <w:bookmarkStart w:id="5" w:name="_Hlk136369982"/>
      <w:r>
        <w:rPr>
          <w:rFonts w:cs="Times New Roman" w:ascii="Times New Roman" w:hAnsi="Times New Roman"/>
          <w:sz w:val="24"/>
          <w:szCs w:val="24"/>
        </w:rPr>
        <w:t xml:space="preserve">мора бити </w:t>
      </w:r>
      <w:bookmarkEnd w:id="5"/>
      <w:r>
        <w:rPr>
          <w:rFonts w:cs="Times New Roman" w:ascii="Times New Roman" w:hAnsi="Times New Roman"/>
          <w:sz w:val="24"/>
          <w:szCs w:val="24"/>
        </w:rPr>
        <w:t>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w:t>
      </w:r>
      <w:r>
        <w:rPr>
          <w:rFonts w:cs="Times New Roman" w:ascii="Times New Roman" w:hAnsi="Times New Roman"/>
          <w:sz w:val="24"/>
          <w:szCs w:val="24"/>
          <w:lang w:val="sr-Latn-CS"/>
        </w:rPr>
        <w:t>.</w:t>
      </w:r>
    </w:p>
    <w:p>
      <w:pPr>
        <w:pStyle w:val="Normal"/>
        <w:spacing w:lineRule="auto" w:line="240" w:before="0" w:after="0"/>
        <w:ind w:left="360" w:hanging="0"/>
        <w:jc w:val="both"/>
        <w:rPr>
          <w:rFonts w:ascii="Times New Roman" w:hAnsi="Times New Roman" w:cs="Times New Roman"/>
          <w:sz w:val="24"/>
          <w:szCs w:val="24"/>
          <w:lang w:val="sr-Latn-CS"/>
        </w:rPr>
      </w:pPr>
      <w:r>
        <w:rPr>
          <w:rFonts w:cs="Times New Roman" w:ascii="Times New Roman" w:hAnsi="Times New Roman"/>
          <w:sz w:val="24"/>
          <w:szCs w:val="24"/>
        </w:rPr>
        <w:t>НАПОМЕНА:</w:t>
      </w:r>
    </w:p>
    <w:p>
      <w:pPr>
        <w:pStyle w:val="Normal"/>
        <w:spacing w:lineRule="auto" w:line="240" w:before="0" w:after="0"/>
        <w:ind w:left="360" w:hanging="0"/>
        <w:jc w:val="both"/>
        <w:rPr>
          <w:rFonts w:ascii="Times New Roman" w:hAnsi="Times New Roman" w:eastAsia="Calibri" w:cs="Times New Roman"/>
          <w:b/>
          <w:b/>
          <w:bCs/>
          <w:sz w:val="24"/>
          <w:szCs w:val="24"/>
          <w:u w:val="single"/>
        </w:rPr>
      </w:pPr>
      <w:r>
        <w:rPr>
          <w:rFonts w:cs="Times New Roman" w:ascii="Times New Roman" w:hAnsi="Times New Roman"/>
          <w:sz w:val="24"/>
          <w:szCs w:val="24"/>
        </w:rPr>
        <w:t>*</w:t>
      </w:r>
      <w:r>
        <w:rPr>
          <w:rFonts w:cs="Times New Roman" w:ascii="Times New Roman" w:hAnsi="Times New Roman"/>
          <w:color w:val="000000" w:themeColor="text1"/>
          <w:sz w:val="24"/>
          <w:szCs w:val="24"/>
        </w:rPr>
        <w:t xml:space="preserve"> Могуће је извршити замену постојећег котла на природан гас</w:t>
      </w:r>
      <w:r>
        <w:rPr>
          <w:rFonts w:cs="Times New Roman" w:ascii="Times New Roman" w:hAnsi="Times New Roman"/>
          <w:sz w:val="24"/>
          <w:szCs w:val="24"/>
        </w:rPr>
        <w:t xml:space="preserve"> </w:t>
      </w:r>
      <w:r>
        <w:rPr>
          <w:rFonts w:cs="Times New Roman" w:ascii="Times New Roman" w:hAnsi="Times New Roman"/>
          <w:color w:val="000000" w:themeColor="text1"/>
          <w:sz w:val="24"/>
          <w:szCs w:val="24"/>
        </w:rPr>
        <w:t xml:space="preserve">који је уграђен у периоду </w:t>
      </w:r>
      <w:r>
        <w:rPr>
          <w:rFonts w:cs="Times New Roman" w:ascii="Times New Roman" w:hAnsi="Times New Roman"/>
          <w:color w:val="000000" w:themeColor="text1"/>
          <w:sz w:val="24"/>
          <w:szCs w:val="24"/>
          <w:u w:val="single"/>
        </w:rPr>
        <w:t>дужем</w:t>
      </w:r>
      <w:r>
        <w:rPr>
          <w:rFonts w:cs="Times New Roman" w:ascii="Times New Roman" w:hAnsi="Times New Roman"/>
          <w:color w:val="000000" w:themeColor="text1"/>
          <w:sz w:val="24"/>
          <w:szCs w:val="24"/>
        </w:rPr>
        <w:t xml:space="preserve"> од </w:t>
      </w:r>
      <w:r>
        <w:rPr>
          <w:rFonts w:cs="Times New Roman" w:ascii="Times New Roman" w:hAnsi="Times New Roman"/>
          <w:color w:val="000000" w:themeColor="text1"/>
          <w:sz w:val="24"/>
          <w:szCs w:val="24"/>
          <w:lang w:val="sr-Latn-CS"/>
        </w:rPr>
        <w:t>15</w:t>
      </w:r>
      <w:r>
        <w:rPr>
          <w:rFonts w:cs="Times New Roman" w:ascii="Times New Roman" w:hAnsi="Times New Roman"/>
          <w:color w:val="000000" w:themeColor="text1"/>
          <w:sz w:val="24"/>
          <w:szCs w:val="24"/>
        </w:rPr>
        <w:t xml:space="preserve"> година од дана објављивања овог Јавног позива. Замена може бити извршена искључиво набавком и  инсталацијом кондензационог котла на природни гас са минималним степеном корисности једнаким 100%.</w:t>
      </w:r>
    </w:p>
    <w:p>
      <w:pPr>
        <w:pStyle w:val="ListParagraph"/>
        <w:spacing w:lineRule="auto" w:line="240" w:before="0" w:after="0"/>
        <w:contextualSpacing/>
        <w:jc w:val="both"/>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r>
    </w:p>
    <w:p>
      <w:pPr>
        <w:pStyle w:val="Normal"/>
        <w:spacing w:lineRule="auto" w:line="240" w:before="0" w:after="0"/>
        <w:contextualSpacing/>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5) Замена постојећег грејача простора на чврсто гориво (котао или пећ) ефикаснијим котлом на биомасу</w:t>
      </w:r>
    </w:p>
    <w:p>
      <w:pPr>
        <w:pStyle w:val="Normal"/>
        <w:spacing w:lineRule="auto" w:line="240" w:before="0" w:after="0"/>
        <w:ind w:firstLine="720"/>
        <w:contextualSpacing/>
        <w:jc w:val="both"/>
        <w:rPr>
          <w:rFonts w:ascii="Times New Roman" w:hAnsi="Times New Roman" w:cs="Times New Roman"/>
          <w:sz w:val="24"/>
          <w:szCs w:val="24"/>
        </w:rPr>
      </w:pPr>
      <w:r>
        <w:rPr>
          <w:rFonts w:cs="Times New Roman" w:ascii="Times New Roman" w:hAnsi="Times New Roman"/>
          <w:sz w:val="24"/>
          <w:szCs w:val="24"/>
        </w:rPr>
        <w:t xml:space="preserve">У оквиру ове мере могуће је извршити набавку и монтажу котла на биомасу (дрвни пелет, брикет и сечка). </w:t>
      </w:r>
    </w:p>
    <w:p>
      <w:pPr>
        <w:pStyle w:val="Normal"/>
        <w:spacing w:lineRule="auto" w:line="240" w:before="0" w:after="0"/>
        <w:ind w:firstLine="720"/>
        <w:contextualSpacing/>
        <w:jc w:val="both"/>
        <w:rPr>
          <w:rFonts w:ascii="Times New Roman" w:hAnsi="Times New Roman" w:cs="Times New Roman"/>
          <w:sz w:val="24"/>
          <w:szCs w:val="24"/>
        </w:rPr>
      </w:pPr>
      <w:r>
        <w:rPr>
          <w:rFonts w:cs="Times New Roman" w:ascii="Times New Roman" w:hAnsi="Times New Roman"/>
          <w:sz w:val="24"/>
          <w:szCs w:val="24"/>
        </w:rPr>
        <w:t>Овом мером је неопходно испунити следећи критеријум енергетске ефикасности:</w:t>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минимални степен корисности котла на биомасу (грејач простора) (дрвни пелет, брикет, сечка) мора бити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 </w:t>
      </w:r>
    </w:p>
    <w:p>
      <w:pPr>
        <w:pStyle w:val="Normal"/>
        <w:spacing w:lineRule="auto" w:line="240" w:before="0" w:after="0"/>
        <w:contextualSpacing/>
        <w:jc w:val="both"/>
        <w:rPr>
          <w:rFonts w:ascii="Times New Roman" w:hAnsi="Times New Roman" w:eastAsia="Calibri" w:cs="Times New Roman"/>
          <w:b/>
          <w:b/>
          <w:bCs/>
          <w:sz w:val="24"/>
          <w:szCs w:val="24"/>
          <w:u w:val="single"/>
        </w:rPr>
      </w:pPr>
      <w:r>
        <w:rPr>
          <w:rFonts w:eastAsia="Calibri" w:cs="Times New Roman" w:ascii="Times New Roman" w:hAnsi="Times New Roman"/>
          <w:b/>
          <w:bCs/>
          <w:sz w:val="24"/>
          <w:szCs w:val="24"/>
          <w:u w:val="single"/>
        </w:rPr>
      </w:r>
    </w:p>
    <w:p>
      <w:pPr>
        <w:pStyle w:val="Normal"/>
        <w:spacing w:lineRule="auto" w:line="240" w:before="0" w:after="0"/>
        <w:contextualSpacing/>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6) Уградња топлотних пумпи</w:t>
      </w:r>
    </w:p>
    <w:p>
      <w:pPr>
        <w:pStyle w:val="Normal"/>
        <w:spacing w:lineRule="auto" w:line="240" w:before="0" w:after="0"/>
        <w:ind w:firstLine="720"/>
        <w:contextualSpacing/>
        <w:jc w:val="both"/>
        <w:rPr>
          <w:rFonts w:ascii="Times New Roman" w:hAnsi="Times New Roman" w:cs="Times New Roman"/>
          <w:sz w:val="24"/>
          <w:szCs w:val="24"/>
        </w:rPr>
      </w:pPr>
      <w:r>
        <w:rPr>
          <w:rFonts w:cs="Times New Roman" w:ascii="Times New Roman" w:hAnsi="Times New Roman"/>
          <w:sz w:val="24"/>
          <w:szCs w:val="24"/>
        </w:rPr>
        <w:t xml:space="preserve">У оквиру ове мере могуће је извршити набавку и уградњу топлотне пумпе: топлотне пумпе ваздух-ваздух; топлотне пумпе ваздух-вода или топлотне пумпе земља-вода (са хоризонталним колекторима или са геосондама). </w:t>
      </w:r>
    </w:p>
    <w:p>
      <w:pPr>
        <w:pStyle w:val="Normal"/>
        <w:spacing w:lineRule="auto" w:line="240" w:before="0" w:after="0"/>
        <w:ind w:firstLine="720"/>
        <w:contextualSpacing/>
        <w:jc w:val="both"/>
        <w:rPr>
          <w:rFonts w:ascii="Times New Roman" w:hAnsi="Times New Roman" w:cs="Times New Roman"/>
          <w:sz w:val="24"/>
          <w:szCs w:val="24"/>
        </w:rPr>
      </w:pPr>
      <w:r>
        <w:rPr>
          <w:rFonts w:cs="Times New Roman" w:ascii="Times New Roman" w:hAnsi="Times New Roman"/>
          <w:sz w:val="24"/>
          <w:szCs w:val="24"/>
        </w:rPr>
        <w:t>Овом мером је неопходно испунити следећи критеријум енергетске ефикасности:</w:t>
      </w:r>
    </w:p>
    <w:p>
      <w:pPr>
        <w:pStyle w:val="ListParagraph"/>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минимални SCOP (сезонски коефицијент грејања) према извору топлотне енергије треба да износи: </w:t>
      </w:r>
    </w:p>
    <w:p>
      <w:pPr>
        <w:pStyle w:val="Normal"/>
        <w:spacing w:lineRule="auto" w:line="240" w:before="0" w:after="0"/>
        <w:ind w:left="1985"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 Ваздух, више од 3,4; </w:t>
      </w:r>
    </w:p>
    <w:p>
      <w:pPr>
        <w:pStyle w:val="Normal"/>
        <w:spacing w:lineRule="auto" w:line="240" w:before="0" w:after="0"/>
        <w:ind w:left="1985" w:hanging="0"/>
        <w:contextualSpacing/>
        <w:jc w:val="both"/>
        <w:rPr>
          <w:rFonts w:ascii="Times New Roman" w:hAnsi="Times New Roman" w:cs="Times New Roman"/>
          <w:sz w:val="24"/>
          <w:szCs w:val="24"/>
        </w:rPr>
      </w:pPr>
      <w:r>
        <w:rPr>
          <w:rFonts w:cs="Times New Roman" w:ascii="Times New Roman" w:hAnsi="Times New Roman"/>
          <w:sz w:val="24"/>
          <w:szCs w:val="24"/>
        </w:rPr>
        <w:t>- Земља, више од 4,0;</w:t>
      </w:r>
    </w:p>
    <w:p>
      <w:pPr>
        <w:pStyle w:val="Normal"/>
        <w:spacing w:lineRule="auto" w:line="240" w:before="0" w:after="0"/>
        <w:ind w:left="1985" w:hanging="0"/>
        <w:contextualSpacing/>
        <w:jc w:val="both"/>
        <w:rPr>
          <w:rFonts w:ascii="Times New Roman" w:hAnsi="Times New Roman" w:cs="Times New Roman"/>
          <w:sz w:val="24"/>
          <w:szCs w:val="24"/>
        </w:rPr>
      </w:pPr>
      <w:bookmarkStart w:id="6" w:name="_Hlk136517492"/>
      <w:r>
        <w:rPr>
          <w:rFonts w:cs="Times New Roman" w:ascii="Times New Roman" w:hAnsi="Times New Roman"/>
          <w:sz w:val="24"/>
          <w:szCs w:val="24"/>
        </w:rPr>
        <w:t>- Вода, више од 4,5.</w:t>
      </w:r>
      <w:bookmarkEnd w:id="6"/>
    </w:p>
    <w:p>
      <w:pPr>
        <w:pStyle w:val="Normal"/>
        <w:spacing w:lineRule="auto" w:line="240" w:before="0" w:after="0"/>
        <w:contextualSpacing/>
        <w:jc w:val="both"/>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r>
    </w:p>
    <w:p>
      <w:pPr>
        <w:pStyle w:val="Normal"/>
        <w:spacing w:lineRule="auto" w:line="240" w:before="0" w:after="0"/>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t>7) Замена постојеће или уградња нове цевне мреже, грејних тела и пратећег прибора</w:t>
      </w:r>
    </w:p>
    <w:p>
      <w:pPr>
        <w:pStyle w:val="Normal"/>
        <w:spacing w:lineRule="auto" w:line="240" w:before="0" w:after="0"/>
        <w:ind w:firstLine="720"/>
        <w:contextualSpacing/>
        <w:jc w:val="both"/>
        <w:rPr>
          <w:rFonts w:ascii="Times New Roman" w:hAnsi="Times New Roman" w:cs="Times New Roman"/>
          <w:sz w:val="24"/>
          <w:szCs w:val="24"/>
        </w:rPr>
      </w:pPr>
      <w:r>
        <w:rPr>
          <w:rFonts w:cs="Times New Roman" w:ascii="Times New Roman" w:hAnsi="Times New Roman"/>
          <w:sz w:val="24"/>
          <w:szCs w:val="24"/>
        </w:rPr>
        <w:t>Ова мера се састоји од (i) уградње електронски регулисаних циркулаторних пумпи, (ii) замене и изолације цевне мреже, (iii) замене радијатора, (iv) опремање система грејања регулацијом и контролним уређајима (балансних вентила, разделника, регулатора протока) и, (v) уређаја за мерење топлоте, као што су калориметри. 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w:t>
      </w:r>
    </w:p>
    <w:p>
      <w:pPr>
        <w:pStyle w:val="Normal"/>
        <w:spacing w:lineRule="auto" w:line="240" w:before="0" w:after="0"/>
        <w:ind w:firstLine="720"/>
        <w:contextualSpacing/>
        <w:jc w:val="both"/>
        <w:rPr>
          <w:rFonts w:ascii="Times New Roman" w:hAnsi="Times New Roman" w:cs="Times New Roman"/>
          <w:sz w:val="24"/>
          <w:szCs w:val="24"/>
        </w:rPr>
      </w:pPr>
      <w:r>
        <w:rPr>
          <w:rFonts w:cs="Times New Roman" w:ascii="Times New Roman" w:hAnsi="Times New Roman"/>
          <w:b/>
          <w:sz w:val="24"/>
          <w:szCs w:val="24"/>
        </w:rPr>
        <w:t>Напомена:</w:t>
      </w:r>
      <w:r>
        <w:rPr>
          <w:rFonts w:cs="Times New Roman" w:ascii="Times New Roman" w:hAnsi="Times New Roman"/>
          <w:sz w:val="24"/>
          <w:szCs w:val="24"/>
        </w:rPr>
        <w:t xml:space="preserve"> Ова мера се може применити само заједно са мером замене постојећег грејача простора (котла или пећи) ефикаснијим, из става 1, тачка 4) или 5) или 6) овог одељка.</w:t>
      </w:r>
    </w:p>
    <w:p>
      <w:pPr>
        <w:pStyle w:val="Normal"/>
        <w:spacing w:lineRule="auto" w:line="240" w:before="0" w:after="0"/>
        <w:contextualSpacing/>
        <w:jc w:val="both"/>
        <w:rPr>
          <w:rFonts w:ascii="Times New Roman" w:hAnsi="Times New Roman" w:eastAsia="Calibri" w:cs="Times New Roman"/>
          <w:b/>
          <w:b/>
          <w:sz w:val="24"/>
          <w:szCs w:val="24"/>
        </w:rPr>
      </w:pPr>
      <w:bookmarkStart w:id="7" w:name="_Hlk136517551"/>
      <w:r>
        <w:rPr>
          <w:rFonts w:eastAsia="Calibri" w:cs="Times New Roman" w:ascii="Times New Roman" w:hAnsi="Times New Roman"/>
          <w:sz w:val="24"/>
          <w:szCs w:val="24"/>
        </w:rPr>
        <w:br/>
      </w:r>
      <w:bookmarkEnd w:id="7"/>
      <w:r>
        <w:rPr>
          <w:rFonts w:eastAsia="Calibri" w:cs="Times New Roman" w:ascii="Times New Roman" w:hAnsi="Times New Roman"/>
          <w:b/>
          <w:sz w:val="24"/>
          <w:szCs w:val="24"/>
        </w:rPr>
        <w:t>8) Уградња соларних колектора у инсталацију за централну припрему потрошне топле воде.</w:t>
      </w:r>
    </w:p>
    <w:p>
      <w:pPr>
        <w:pStyle w:val="Normal"/>
        <w:spacing w:lineRule="auto" w:line="240" w:before="0" w:after="0"/>
        <w:contextualSpacing/>
        <w:jc w:val="both"/>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r>
    </w:p>
    <w:p>
      <w:pPr>
        <w:pStyle w:val="Normal"/>
        <w:spacing w:lineRule="auto" w:line="240" w:before="0" w:after="0"/>
        <w:contextualSpacing/>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9)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p>
    <w:p>
      <w:pPr>
        <w:pStyle w:val="Normal"/>
        <w:spacing w:lineRule="auto" w:line="240" w:before="0" w:after="0"/>
        <w:contextualSpacing/>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contextualSpacing/>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 xml:space="preserve">10) Израда техничке документације </w:t>
      </w:r>
      <w:r>
        <w:rPr>
          <w:rFonts w:eastAsia="Calibri" w:cs="Times New Roman" w:ascii="Times New Roman" w:hAnsi="Times New Roman"/>
          <w:b/>
          <w:bCs/>
          <w:sz w:val="24"/>
          <w:szCs w:val="24"/>
          <w:u w:val="single"/>
        </w:rPr>
        <w:t>према важећој законској регулативи</w:t>
      </w:r>
      <w:r>
        <w:rPr>
          <w:rFonts w:eastAsia="Calibri" w:cs="Times New Roman" w:ascii="Times New Roman" w:hAnsi="Times New Roman"/>
          <w:b/>
          <w:bCs/>
          <w:sz w:val="24"/>
          <w:szCs w:val="24"/>
        </w:rPr>
        <w:t>.</w:t>
      </w:r>
    </w:p>
    <w:p>
      <w:pPr>
        <w:pStyle w:val="Normal"/>
        <w:spacing w:lineRule="auto" w:line="240" w:before="0" w:after="0"/>
        <w:ind w:left="1077" w:hanging="0"/>
        <w:contextualSpacing/>
        <w:jc w:val="both"/>
        <w:rPr>
          <w:rFonts w:ascii="Times New Roman" w:hAnsi="Times New Roman" w:eastAsia="Calibri" w:cs="Times New Roman"/>
          <w:b/>
          <w:b/>
          <w:bCs/>
          <w:sz w:val="24"/>
          <w:szCs w:val="24"/>
          <w:u w:val="single"/>
        </w:rPr>
      </w:pPr>
      <w:r>
        <w:rPr>
          <w:rFonts w:eastAsia="Calibri" w:cs="Times New Roman" w:ascii="Times New Roman" w:hAnsi="Times New Roman"/>
          <w:b/>
          <w:bCs/>
          <w:sz w:val="24"/>
          <w:szCs w:val="24"/>
          <w:u w:val="single"/>
        </w:rPr>
      </w:r>
    </w:p>
    <w:p>
      <w:pPr>
        <w:pStyle w:val="Normal"/>
        <w:spacing w:lineRule="auto" w:line="240" w:before="0" w:after="0"/>
        <w:ind w:firstLine="612"/>
        <w:jc w:val="both"/>
        <w:rPr>
          <w:rFonts w:ascii="Times New Roman" w:hAnsi="Times New Roman" w:eastAsia="Calibri" w:cs="Times New Roman"/>
          <w:sz w:val="24"/>
          <w:szCs w:val="24"/>
        </w:rPr>
      </w:pPr>
      <w:r>
        <w:rPr>
          <w:rFonts w:eastAsia="Calibri" w:cs="Times New Roman" w:ascii="Times New Roman" w:hAnsi="Times New Roman"/>
          <w:sz w:val="24"/>
          <w:szCs w:val="24"/>
        </w:rPr>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појединачног пројекта. Износ максималних укупних средстава по појединачним мерама биће одређен у јавном позиву за крајње кориснике (домаћинства).</w:t>
      </w:r>
    </w:p>
    <w:p>
      <w:pPr>
        <w:pStyle w:val="Normal"/>
        <w:spacing w:lineRule="auto" w:line="240" w:before="0" w:after="0"/>
        <w:ind w:firstLine="612"/>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Крајњи корисници ће имати право да се пријаве за: „Једну или две појединачне мере“ или за „Пакет“ који обухвата више мера енергетске санације.</w:t>
      </w:r>
    </w:p>
    <w:p>
      <w:pPr>
        <w:pStyle w:val="Normal"/>
        <w:spacing w:lineRule="auto" w:line="240" w:before="0" w:after="0"/>
        <w:ind w:firstLine="612"/>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Област енергетске ефикасности у зградарству регулисана је Законом о планирању и изградњи и пратећим правилницима.</w:t>
      </w:r>
    </w:p>
    <w:p>
      <w:pPr>
        <w:pStyle w:val="Normal"/>
        <w:tabs>
          <w:tab w:val="left" w:pos="360" w:leader="none"/>
        </w:tabs>
        <w:spacing w:before="0" w:after="0"/>
        <w:jc w:val="both"/>
        <w:rPr>
          <w:rFonts w:ascii="Times New Roman" w:hAnsi="Times New Roman" w:eastAsia="Times New Roman" w:cs="Times New Roman"/>
          <w:b/>
          <w:b/>
          <w:bCs/>
          <w:sz w:val="24"/>
          <w:szCs w:val="24"/>
        </w:rPr>
      </w:pPr>
      <w:r>
        <w:rPr>
          <w:rFonts w:eastAsia="Calibri" w:cs="Times New Roman" w:ascii="Times New Roman" w:hAnsi="Times New Roman"/>
          <w:bCs/>
          <w:color w:val="FF0000"/>
          <w:sz w:val="24"/>
          <w:szCs w:val="24"/>
        </w:rPr>
        <w:tab/>
      </w:r>
    </w:p>
    <w:p>
      <w:pPr>
        <w:pStyle w:val="Normal"/>
        <w:spacing w:lineRule="auto" w:line="276"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II.</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rPr>
        <w:t>ПРАВО УЧЕШЋА НА ЈАВНОМ ПОЗИВУ</w:t>
      </w:r>
    </w:p>
    <w:p>
      <w:pPr>
        <w:pStyle w:val="Normal"/>
        <w:shd w:val="clear" w:color="auto" w:fill="FFFFFF"/>
        <w:spacing w:lineRule="auto" w:line="276" w:before="0" w:after="0"/>
        <w:ind w:left="10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61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Право учешћа на Јавном позиву имају привредни субјекти који врше испоруку и уградњу материјала, опреме и уређаја за енергетску санацију путем мера енергетске ефикасности из поглавља </w:t>
      </w:r>
      <w:r>
        <w:rPr>
          <w:rFonts w:eastAsia="Times New Roman" w:cs="Times New Roman" w:ascii="Times New Roman" w:hAnsi="Times New Roman"/>
          <w:sz w:val="24"/>
          <w:szCs w:val="24"/>
          <w:lang w:val="en-US"/>
        </w:rPr>
        <w:t>I</w:t>
      </w:r>
      <w:r>
        <w:rPr>
          <w:rFonts w:cs="Times New Roman" w:ascii="Times New Roman" w:hAnsi="Times New Roman"/>
          <w:i/>
          <w:sz w:val="24"/>
          <w:szCs w:val="24"/>
        </w:rPr>
        <w:t xml:space="preserve"> </w:t>
      </w:r>
      <w:r>
        <w:rPr>
          <w:rFonts w:eastAsia="Times New Roman" w:cs="Times New Roman" w:ascii="Times New Roman" w:hAnsi="Times New Roman"/>
          <w:sz w:val="24"/>
          <w:szCs w:val="24"/>
        </w:rPr>
        <w:t>и који испуњавају следеће услове:</w:t>
      </w:r>
    </w:p>
    <w:p>
      <w:pPr>
        <w:pStyle w:val="ListParagraph"/>
        <w:numPr>
          <w:ilvl w:val="0"/>
          <w:numId w:val="5"/>
        </w:numPr>
        <w:spacing w:lineRule="auto" w:line="240" w:before="0" w:after="0"/>
        <w:ind w:left="85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законском заступнику није изречена ни трајна, ни привремена правоснажна мера забране обављања делатности у последње две године;</w:t>
      </w:r>
    </w:p>
    <w:p>
      <w:pPr>
        <w:pStyle w:val="ListParagraph"/>
        <w:numPr>
          <w:ilvl w:val="0"/>
          <w:numId w:val="5"/>
        </w:numPr>
        <w:spacing w:lineRule="auto" w:line="240" w:before="0" w:after="0"/>
        <w:ind w:left="85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власници/оснивачи и законски заступници нису правноснажно осуђивани за кривична дела против привреде, кривична дела против животне средине, кривично дело примања или давања мита, кривична дела против права по основу рада, кривичних дела као чланови организоване криминалне групе, кривично дело преваре и друга кривична дела која се гоне по службеној дужности, као и да се против њих не води истрага нити кривични поступак;</w:t>
      </w:r>
    </w:p>
    <w:p>
      <w:pPr>
        <w:pStyle w:val="ListParagraph"/>
        <w:numPr>
          <w:ilvl w:val="0"/>
          <w:numId w:val="5"/>
        </w:numPr>
        <w:spacing w:lineRule="auto" w:line="240" w:before="0" w:after="0"/>
        <w:ind w:left="85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привредни субјект је уписан</w:t>
      </w:r>
      <w:r>
        <w:rPr>
          <w:rFonts w:eastAsia="Times New Roman" w:cs="Times New Roman" w:ascii="Times New Roman" w:hAnsi="Times New Roman"/>
          <w:sz w:val="24"/>
          <w:szCs w:val="24"/>
          <w:lang w:val="sr-Latn-CS"/>
        </w:rPr>
        <w:t xml:space="preserve"> у регистар Агенције за привредне регистре, најмање  2 године од дана подношења пријаве</w:t>
      </w:r>
      <w:r>
        <w:rPr>
          <w:rFonts w:eastAsia="Times New Roman" w:cs="Times New Roman" w:ascii="Times New Roman" w:hAnsi="Times New Roman"/>
          <w:sz w:val="24"/>
          <w:szCs w:val="24"/>
        </w:rPr>
        <w:t>;</w:t>
      </w:r>
    </w:p>
    <w:p>
      <w:pPr>
        <w:pStyle w:val="ListParagraph"/>
        <w:numPr>
          <w:ilvl w:val="0"/>
          <w:numId w:val="5"/>
        </w:numPr>
        <w:spacing w:lineRule="auto" w:line="240" w:before="0" w:after="0"/>
        <w:ind w:left="85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привредни субјект није </w:t>
      </w:r>
      <w:r>
        <w:rPr>
          <w:rFonts w:eastAsia="Times New Roman" w:cs="Times New Roman" w:ascii="Times New Roman" w:hAnsi="Times New Roman"/>
          <w:sz w:val="24"/>
          <w:szCs w:val="24"/>
          <w:lang w:val="sr-Latn-CS"/>
        </w:rPr>
        <w:t xml:space="preserve">у стечају, неспособан за плаћање </w:t>
      </w:r>
      <w:r>
        <w:rPr>
          <w:rFonts w:eastAsia="Times New Roman" w:cs="Times New Roman" w:ascii="Times New Roman" w:hAnsi="Times New Roman"/>
          <w:sz w:val="24"/>
          <w:szCs w:val="24"/>
        </w:rPr>
        <w:t>и</w:t>
      </w:r>
      <w:r>
        <w:rPr>
          <w:rFonts w:eastAsia="Times New Roman" w:cs="Times New Roman" w:ascii="Times New Roman" w:hAnsi="Times New Roman"/>
          <w:sz w:val="24"/>
          <w:szCs w:val="24"/>
          <w:lang w:val="sr-Latn-CS"/>
        </w:rPr>
        <w:t xml:space="preserve"> </w:t>
      </w:r>
      <w:r>
        <w:rPr>
          <w:rFonts w:eastAsia="Times New Roman" w:cs="Times New Roman" w:ascii="Times New Roman" w:hAnsi="Times New Roman"/>
          <w:sz w:val="24"/>
          <w:szCs w:val="24"/>
        </w:rPr>
        <w:t>да</w:t>
      </w:r>
      <w:r>
        <w:rPr>
          <w:rFonts w:eastAsia="Times New Roman" w:cs="Times New Roman" w:ascii="Times New Roman" w:hAnsi="Times New Roman"/>
          <w:sz w:val="24"/>
          <w:szCs w:val="24"/>
          <w:lang w:val="sr-Latn-CS"/>
        </w:rPr>
        <w:t xml:space="preserve"> </w:t>
      </w:r>
      <w:r>
        <w:rPr>
          <w:rFonts w:eastAsia="Times New Roman" w:cs="Times New Roman" w:ascii="Times New Roman" w:hAnsi="Times New Roman"/>
          <w:sz w:val="24"/>
          <w:szCs w:val="24"/>
        </w:rPr>
        <w:t>над њим није</w:t>
      </w:r>
      <w:r>
        <w:rPr>
          <w:rFonts w:eastAsia="Times New Roman" w:cs="Times New Roman" w:ascii="Times New Roman" w:hAnsi="Times New Roman"/>
          <w:sz w:val="24"/>
          <w:szCs w:val="24"/>
          <w:lang w:val="sr-Latn-CS"/>
        </w:rPr>
        <w:t xml:space="preserve"> покренут поступaк ликвидације</w:t>
      </w:r>
      <w:r>
        <w:rPr>
          <w:rFonts w:eastAsia="Times New Roman" w:cs="Times New Roman" w:ascii="Times New Roman" w:hAnsi="Times New Roman"/>
          <w:sz w:val="24"/>
          <w:szCs w:val="24"/>
        </w:rPr>
        <w:t>;</w:t>
      </w:r>
    </w:p>
    <w:p>
      <w:pPr>
        <w:pStyle w:val="ListParagraph"/>
        <w:numPr>
          <w:ilvl w:val="0"/>
          <w:numId w:val="5"/>
        </w:numPr>
        <w:spacing w:lineRule="auto" w:line="240" w:before="0" w:after="0"/>
        <w:ind w:left="85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привредни субјект поседује </w:t>
      </w:r>
      <w:r>
        <w:rPr>
          <w:rFonts w:eastAsia="Times New Roman" w:cs="Times New Roman" w:ascii="Times New Roman" w:hAnsi="Times New Roman"/>
          <w:sz w:val="24"/>
          <w:szCs w:val="24"/>
          <w:lang w:val="sr-Latn-CS"/>
        </w:rPr>
        <w:t>атесте (са видно назначеним захтеваним карактеристикама на српском) из  за материјале и производе које продају и уграђују</w:t>
      </w:r>
      <w:r>
        <w:rPr>
          <w:rFonts w:eastAsia="Times New Roman" w:cs="Times New Roman" w:ascii="Times New Roman" w:hAnsi="Times New Roman"/>
          <w:sz w:val="24"/>
          <w:szCs w:val="24"/>
        </w:rPr>
        <w:t>;</w:t>
      </w:r>
    </w:p>
    <w:p>
      <w:pPr>
        <w:pStyle w:val="ListParagraph"/>
        <w:numPr>
          <w:ilvl w:val="0"/>
          <w:numId w:val="5"/>
        </w:numPr>
        <w:spacing w:lineRule="auto" w:line="240" w:before="0" w:after="0"/>
        <w:ind w:left="85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привредни субјект </w:t>
      </w:r>
      <w:r>
        <w:rPr>
          <w:rFonts w:eastAsia="Times New Roman" w:cs="Times New Roman" w:ascii="Times New Roman" w:hAnsi="Times New Roman"/>
          <w:sz w:val="24"/>
          <w:szCs w:val="24"/>
          <w:lang w:val="sr-Latn-CS"/>
        </w:rPr>
        <w:t>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w:t>
      </w:r>
      <w:r>
        <w:rPr>
          <w:rFonts w:eastAsia="Times New Roman" w:cs="Times New Roman" w:ascii="Times New Roman" w:hAnsi="Times New Roman"/>
          <w:sz w:val="24"/>
          <w:szCs w:val="24"/>
        </w:rPr>
        <w:t>;</w:t>
      </w:r>
    </w:p>
    <w:p>
      <w:pPr>
        <w:pStyle w:val="ListParagraph"/>
        <w:numPr>
          <w:ilvl w:val="0"/>
          <w:numId w:val="5"/>
        </w:numPr>
        <w:spacing w:lineRule="auto" w:line="240" w:before="0" w:after="0"/>
        <w:ind w:left="85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привредни субјект </w:t>
      </w:r>
      <w:r>
        <w:rPr>
          <w:rFonts w:eastAsia="Times New Roman" w:cs="Times New Roman" w:ascii="Times New Roman" w:hAnsi="Times New Roman"/>
          <w:sz w:val="24"/>
          <w:szCs w:val="24"/>
          <w:lang w:val="sr-Latn-CS"/>
        </w:rPr>
        <w:t xml:space="preserve">има запосленог или </w:t>
      </w:r>
      <w:r>
        <w:rPr>
          <w:rFonts w:eastAsia="Times New Roman" w:cs="Times New Roman" w:ascii="Times New Roman" w:hAnsi="Times New Roman"/>
          <w:sz w:val="24"/>
          <w:szCs w:val="24"/>
        </w:rPr>
        <w:t>на</w:t>
      </w:r>
      <w:r>
        <w:rPr>
          <w:rFonts w:eastAsia="Times New Roman" w:cs="Times New Roman" w:ascii="Times New Roman" w:hAnsi="Times New Roman"/>
          <w:sz w:val="24"/>
          <w:szCs w:val="24"/>
          <w:lang w:val="sr-Latn-CS"/>
        </w:rPr>
        <w:t xml:space="preserve"> други начин ангажованог инжењера електротехнике који поседује лиценцу у складу са законом којим се уређује изградња објеката, а који ће бити задужен за израду извештаја за уграђену инсталацију соларних панела за производњу електричне енергије</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овај услов се односи само на привредне субјекте који се пријављују за меру из Одељка </w:t>
      </w:r>
      <w:r>
        <w:rPr>
          <w:rFonts w:eastAsia="Times New Roman" w:cs="Times New Roman" w:ascii="Times New Roman" w:hAnsi="Times New Roman"/>
          <w:i/>
          <w:sz w:val="24"/>
          <w:szCs w:val="24"/>
          <w:lang w:val="sr-Latn-CS"/>
        </w:rPr>
        <w:t>I.</w:t>
      </w:r>
      <w:r>
        <w:rPr>
          <w:rFonts w:eastAsia="Times New Roman" w:cs="Times New Roman" w:ascii="Times New Roman" w:hAnsi="Times New Roman"/>
          <w:i/>
          <w:sz w:val="24"/>
          <w:szCs w:val="24"/>
        </w:rPr>
        <w:t xml:space="preserve"> став 1. тачка 9)</w:t>
      </w:r>
      <w:r>
        <w:rPr>
          <w:rFonts w:eastAsia="Times New Roman" w:cs="Times New Roman" w:ascii="Times New Roman" w:hAnsi="Times New Roman"/>
          <w:sz w:val="24"/>
          <w:szCs w:val="24"/>
          <w:lang w:val="sr-Latn-CS"/>
        </w:rPr>
        <w:t>;</w:t>
      </w:r>
    </w:p>
    <w:p>
      <w:pPr>
        <w:pStyle w:val="ListParagraph"/>
        <w:numPr>
          <w:ilvl w:val="0"/>
          <w:numId w:val="5"/>
        </w:numPr>
        <w:spacing w:lineRule="auto" w:line="240" w:before="0" w:after="0"/>
        <w:ind w:left="85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привредни субјект </w:t>
      </w:r>
      <w:r>
        <w:rPr>
          <w:rFonts w:eastAsia="Times New Roman" w:cs="Times New Roman" w:ascii="Times New Roman" w:hAnsi="Times New Roman"/>
          <w:sz w:val="24"/>
          <w:szCs w:val="24"/>
          <w:lang w:val="sr-Latn-CS"/>
        </w:rPr>
        <w:t>да</w:t>
      </w:r>
      <w:r>
        <w:rPr>
          <w:rFonts w:eastAsia="Times New Roman" w:cs="Times New Roman" w:ascii="Times New Roman" w:hAnsi="Times New Roman"/>
          <w:sz w:val="24"/>
          <w:szCs w:val="24"/>
        </w:rPr>
        <w:t>је</w:t>
      </w:r>
      <w:r>
        <w:rPr>
          <w:rFonts w:eastAsia="Times New Roman" w:cs="Times New Roman" w:ascii="Times New Roman" w:hAnsi="Times New Roman"/>
          <w:sz w:val="24"/>
          <w:szCs w:val="24"/>
          <w:lang w:val="sr-Latn-CS"/>
        </w:rPr>
        <w:t xml:space="preserve"> гаранцију на инвертер од минимално пет година и на соларне </w:t>
      </w:r>
      <w:r>
        <w:rPr>
          <w:rFonts w:eastAsia="Times New Roman" w:cs="Times New Roman" w:ascii="Times New Roman" w:hAnsi="Times New Roman"/>
          <w:sz w:val="24"/>
          <w:szCs w:val="24"/>
        </w:rPr>
        <w:t>панеле</w:t>
      </w:r>
      <w:r>
        <w:rPr>
          <w:rFonts w:eastAsia="Times New Roman" w:cs="Times New Roman" w:ascii="Times New Roman" w:hAnsi="Times New Roman"/>
          <w:sz w:val="24"/>
          <w:szCs w:val="24"/>
          <w:lang w:val="sr-Latn-CS"/>
        </w:rPr>
        <w:t xml:space="preserve"> од минимално десет година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овај услов се односи само на привредне субјекте који се пријављују за меру из Одељка </w:t>
      </w:r>
      <w:r>
        <w:rPr>
          <w:rFonts w:eastAsia="Times New Roman" w:cs="Times New Roman" w:ascii="Times New Roman" w:hAnsi="Times New Roman"/>
          <w:i/>
          <w:sz w:val="24"/>
          <w:szCs w:val="24"/>
          <w:lang w:val="sr-Latn-CS"/>
        </w:rPr>
        <w:t>I.</w:t>
      </w:r>
      <w:r>
        <w:rPr>
          <w:rFonts w:eastAsia="Times New Roman" w:cs="Times New Roman" w:ascii="Times New Roman" w:hAnsi="Times New Roman"/>
          <w:i/>
          <w:sz w:val="24"/>
          <w:szCs w:val="24"/>
        </w:rPr>
        <w:t xml:space="preserve"> став 1. тачка 9</w:t>
      </w:r>
      <w:r>
        <w:rPr>
          <w:rFonts w:eastAsia="Times New Roman" w:cs="Times New Roman" w:ascii="Times New Roman" w:hAnsi="Times New Roman"/>
          <w:sz w:val="24"/>
          <w:szCs w:val="24"/>
        </w:rPr>
        <w:t>);</w:t>
      </w:r>
    </w:p>
    <w:p>
      <w:pPr>
        <w:pStyle w:val="ListParagraph"/>
        <w:numPr>
          <w:ilvl w:val="0"/>
          <w:numId w:val="5"/>
        </w:numPr>
        <w:spacing w:lineRule="auto" w:line="240" w:before="0" w:after="0"/>
        <w:ind w:left="85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понуђени рок </w:t>
      </w:r>
      <w:r>
        <w:rPr>
          <w:rFonts w:eastAsia="Times New Roman" w:cs="Times New Roman" w:ascii="Times New Roman" w:hAnsi="Times New Roman"/>
          <w:sz w:val="24"/>
          <w:szCs w:val="24"/>
          <w:lang w:val="sr-Latn-CS"/>
        </w:rPr>
        <w:t xml:space="preserve">важења понуде </w:t>
      </w:r>
      <w:r>
        <w:rPr>
          <w:rFonts w:eastAsia="Times New Roman" w:cs="Times New Roman" w:ascii="Times New Roman" w:hAnsi="Times New Roman"/>
          <w:sz w:val="24"/>
          <w:szCs w:val="24"/>
        </w:rPr>
        <w:t>грађанима изности минимум</w:t>
      </w:r>
      <w:r>
        <w:rPr>
          <w:rFonts w:eastAsia="Times New Roman" w:cs="Times New Roman" w:ascii="Times New Roman" w:hAnsi="Times New Roman"/>
          <w:sz w:val="24"/>
          <w:szCs w:val="24"/>
          <w:lang w:val="sr-Latn-CS"/>
        </w:rPr>
        <w:t xml:space="preserve"> 60 дана</w:t>
      </w:r>
      <w:r>
        <w:rPr>
          <w:rFonts w:eastAsia="Times New Roman" w:cs="Times New Roman" w:ascii="Times New Roman" w:hAnsi="Times New Roman"/>
          <w:sz w:val="24"/>
          <w:szCs w:val="24"/>
        </w:rPr>
        <w:t>;</w:t>
      </w:r>
    </w:p>
    <w:p>
      <w:pPr>
        <w:pStyle w:val="ListParagraph"/>
        <w:numPr>
          <w:ilvl w:val="0"/>
          <w:numId w:val="5"/>
        </w:numPr>
        <w:spacing w:lineRule="auto" w:line="240" w:before="0" w:after="0"/>
        <w:ind w:left="851" w:hanging="360"/>
        <w:contextualSpacing/>
        <w:jc w:val="both"/>
        <w:rPr/>
      </w:pPr>
      <w:r>
        <w:rPr>
          <w:rFonts w:eastAsia="Times New Roman" w:cs="Times New Roman" w:ascii="Times New Roman" w:hAnsi="Times New Roman"/>
          <w:sz w:val="24"/>
          <w:szCs w:val="24"/>
        </w:rPr>
        <w:t>привредни субјект</w:t>
      </w:r>
      <w:r>
        <w:rPr>
          <w:rFonts w:eastAsia="Times New Roman" w:cs="Times New Roman" w:ascii="Times New Roman" w:hAnsi="Times New Roman"/>
          <w:sz w:val="24"/>
          <w:szCs w:val="24"/>
          <w:lang w:val="sr-Latn-CS"/>
        </w:rPr>
        <w:t xml:space="preserve"> </w:t>
      </w:r>
      <w:r>
        <w:rPr>
          <w:rFonts w:eastAsia="Times New Roman" w:cs="Times New Roman" w:ascii="Times New Roman" w:hAnsi="Times New Roman"/>
          <w:sz w:val="24"/>
          <w:szCs w:val="24"/>
        </w:rPr>
        <w:t xml:space="preserve">је </w:t>
      </w:r>
      <w:r>
        <w:rPr>
          <w:rFonts w:eastAsia="Times New Roman" w:cs="Times New Roman" w:ascii="Times New Roman" w:hAnsi="Times New Roman"/>
          <w:sz w:val="24"/>
          <w:szCs w:val="24"/>
          <w:lang w:val="sr-Latn-CS"/>
        </w:rPr>
        <w:t>упознат са условима које је неопходно да испуњава током реализације активности, а кој</w:t>
      </w:r>
      <w:r>
        <w:rPr>
          <w:rFonts w:eastAsia="Times New Roman" w:cs="Times New Roman" w:ascii="Times New Roman" w:hAnsi="Times New Roman"/>
          <w:sz w:val="24"/>
          <w:szCs w:val="24"/>
        </w:rPr>
        <w:t>и</w:t>
      </w:r>
      <w:r>
        <w:rPr>
          <w:rFonts w:eastAsia="Times New Roman" w:cs="Times New Roman" w:ascii="Times New Roman" w:hAnsi="Times New Roman"/>
          <w:sz w:val="24"/>
          <w:szCs w:val="24"/>
          <w:lang w:val="sr-Latn-CS"/>
        </w:rPr>
        <w:t xml:space="preserve"> су </w:t>
      </w:r>
      <w:r>
        <w:rPr>
          <w:rFonts w:eastAsia="Times New Roman" w:cs="Times New Roman" w:ascii="Times New Roman" w:hAnsi="Times New Roman"/>
          <w:sz w:val="24"/>
          <w:szCs w:val="24"/>
        </w:rPr>
        <w:t>јавно доступни</w:t>
      </w:r>
      <w:r>
        <w:rPr>
          <w:rFonts w:eastAsia="Times New Roman" w:cs="Times New Roman" w:ascii="Times New Roman" w:hAnsi="Times New Roman"/>
          <w:sz w:val="24"/>
          <w:szCs w:val="24"/>
          <w:lang w:val="sr-Latn-CS"/>
        </w:rPr>
        <w:t xml:space="preserve"> на интернет страници Министарства рударства и енергетике  (</w:t>
      </w:r>
      <w:hyperlink r:id="rId2">
        <w:r>
          <w:rPr>
            <w:rStyle w:val="InternetLink"/>
            <w:rFonts w:eastAsia="Times New Roman" w:cs="Times New Roman" w:ascii="Times New Roman" w:hAnsi="Times New Roman"/>
            <w:sz w:val="24"/>
            <w:szCs w:val="24"/>
            <w:lang w:val="sr-Latn-CS"/>
          </w:rPr>
          <w:t>www.mre.gov.rs</w:t>
        </w:r>
      </w:hyperlink>
      <w:r>
        <w:rPr>
          <w:rFonts w:eastAsia="Times New Roman" w:cs="Times New Roman" w:ascii="Times New Roman" w:hAnsi="Times New Roman"/>
          <w:sz w:val="24"/>
          <w:szCs w:val="24"/>
          <w:lang w:val="sr-Latn-CS"/>
        </w:rPr>
        <w:t xml:space="preserve">), </w:t>
      </w:r>
      <w:r>
        <w:rPr>
          <w:rFonts w:eastAsia="Times New Roman" w:cs="Times New Roman" w:ascii="Times New Roman" w:hAnsi="Times New Roman"/>
          <w:sz w:val="24"/>
          <w:szCs w:val="24"/>
        </w:rPr>
        <w:t>и то:</w:t>
      </w:r>
    </w:p>
    <w:p>
      <w:pPr>
        <w:pStyle w:val="ListParagraph"/>
        <w:numPr>
          <w:ilvl w:val="0"/>
          <w:numId w:val="5"/>
        </w:numPr>
        <w:spacing w:lineRule="auto" w:line="240" w:before="0" w:after="0"/>
        <w:ind w:left="170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sr-Latn-CS"/>
        </w:rPr>
        <w:t>„</w:t>
      </w:r>
      <w:r>
        <w:rPr>
          <w:rFonts w:eastAsia="Times New Roman" w:cs="Times New Roman" w:ascii="Times New Roman" w:hAnsi="Times New Roman"/>
          <w:sz w:val="24"/>
          <w:szCs w:val="24"/>
          <w:lang w:val="sr-Latn-CS"/>
        </w:rPr>
        <w:t>Правилник о раду на пројекту“,</w:t>
      </w:r>
    </w:p>
    <w:p>
      <w:pPr>
        <w:pStyle w:val="ListParagraph"/>
        <w:numPr>
          <w:ilvl w:val="0"/>
          <w:numId w:val="5"/>
        </w:numPr>
        <w:spacing w:lineRule="auto" w:line="240" w:before="0" w:after="0"/>
        <w:ind w:left="170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sr-Latn-CS"/>
        </w:rPr>
        <w:t>„</w:t>
      </w:r>
      <w:r>
        <w:rPr>
          <w:rFonts w:eastAsia="Times New Roman" w:cs="Times New Roman" w:ascii="Times New Roman" w:hAnsi="Times New Roman"/>
          <w:sz w:val="24"/>
          <w:szCs w:val="24"/>
          <w:lang w:val="sr-Latn-CS"/>
        </w:rPr>
        <w:t>Оквир за управљање заштитом животне средине и социјалним утицајима пројекта (ESMF)“ и</w:t>
      </w:r>
    </w:p>
    <w:p>
      <w:pPr>
        <w:pStyle w:val="ListParagraph"/>
        <w:numPr>
          <w:ilvl w:val="0"/>
          <w:numId w:val="5"/>
        </w:numPr>
        <w:spacing w:lineRule="auto" w:line="240" w:before="0" w:after="0"/>
        <w:ind w:left="1701" w:hanging="36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sr-Latn-CS"/>
        </w:rPr>
        <w:t>„</w:t>
      </w:r>
      <w:r>
        <w:rPr>
          <w:rFonts w:eastAsia="Times New Roman" w:cs="Times New Roman" w:ascii="Times New Roman" w:hAnsi="Times New Roman"/>
          <w:sz w:val="24"/>
          <w:szCs w:val="24"/>
          <w:lang w:val="sr-Latn-CS"/>
        </w:rPr>
        <w:t>Контролна листа плана за управљање животном средином и социјалним питањима (ESMP)“.</w:t>
      </w:r>
      <w:r>
        <w:rPr>
          <w:rFonts w:cs="Times New Roman" w:ascii="Times New Roman" w:hAnsi="Times New Roman"/>
          <w:bCs/>
          <w:sz w:val="24"/>
          <w:szCs w:val="24"/>
        </w:rPr>
        <w:t xml:space="preserve">                                                 </w:t>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lang w:val="sr-Latn-RS"/>
        </w:rPr>
        <w:t>III</w:t>
      </w:r>
      <w:r>
        <w:rPr>
          <w:rFonts w:cs="Times New Roman" w:ascii="Times New Roman" w:hAnsi="Times New Roman"/>
          <w:b/>
          <w:bCs/>
          <w:sz w:val="24"/>
          <w:szCs w:val="24"/>
        </w:rPr>
        <w:t>. ОБАВЕЗНА ДОКУМЕНТАЦИЈА УЗ ПРИЈАВУ</w:t>
      </w:r>
    </w:p>
    <w:p>
      <w:pPr>
        <w:pStyle w:val="Normal"/>
        <w:spacing w:lineRule="auto" w:line="276" w:before="0" w:after="0"/>
        <w:jc w:val="center"/>
        <w:rPr>
          <w:rFonts w:ascii="Times New Roman" w:hAnsi="Times New Roman" w:cs="Times New Roman"/>
          <w:sz w:val="24"/>
          <w:szCs w:val="24"/>
          <w:lang w:val="sr-Latn-RS"/>
        </w:rPr>
      </w:pPr>
      <w:r>
        <w:rPr>
          <w:rFonts w:cs="Times New Roman" w:ascii="Times New Roman" w:hAnsi="Times New Roman"/>
          <w:sz w:val="24"/>
          <w:szCs w:val="24"/>
          <w:lang w:val="sr-Latn-RS"/>
        </w:rPr>
      </w:r>
    </w:p>
    <w:p>
      <w:pPr>
        <w:pStyle w:val="Normal"/>
        <w:spacing w:lineRule="auto" w:line="240" w:before="0" w:after="0"/>
        <w:ind w:firstLine="61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Пријава коју на Јавни позив подноси привредни субјект (у даљем тексту: Пријава) садржи Пријавни образац, Изјаву и Атесте/ Извештаје о испитивању опреме и производа која мора да испуни минималне критеријуме енергетске ефикасности.</w:t>
      </w:r>
    </w:p>
    <w:p>
      <w:pPr>
        <w:pStyle w:val="Normal"/>
        <w:spacing w:lineRule="auto" w:line="276"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За предузетнике Пријаву потписује лице које је регистровано за обављање делатности као предузетник. </w:t>
      </w:r>
    </w:p>
    <w:p>
      <w:pPr>
        <w:pStyle w:val="Normal"/>
        <w:spacing w:lineRule="auto" w:line="276"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Ако је привредни субјект, тј. подносилац пријаве страно правно лице, Изјаву потписује законски заступник, односно уколико има више законских заступника потребно је да сви потпишу Изјаву. </w:t>
      </w:r>
    </w:p>
    <w:p>
      <w:pPr>
        <w:pStyle w:val="Normal"/>
        <w:spacing w:lineRule="auto" w:line="276" w:before="0" w:after="0"/>
        <w:ind w:firstLine="720"/>
        <w:jc w:val="both"/>
        <w:rPr>
          <w:rFonts w:ascii="Times New Roman" w:hAnsi="Times New Roman" w:eastAsia="Times New Roman" w:cs="Times New Roman"/>
          <w:sz w:val="24"/>
          <w:szCs w:val="24"/>
        </w:rPr>
      </w:pPr>
      <w:r>
        <w:rPr>
          <w:rFonts w:cs="Times New Roman" w:ascii="Times New Roman" w:hAnsi="Times New Roman"/>
          <w:sz w:val="24"/>
          <w:szCs w:val="24"/>
        </w:rPr>
        <w:t xml:space="preserve">О свим изменама података поднетим у пријави до којих дође током трајања овог јавног позива, привредни субјекат је дужан да у року од 5 дана обавести Комисију за </w:t>
      </w:r>
      <w:r>
        <w:rPr>
          <w:rFonts w:eastAsia="Times New Roman" w:cs="Times New Roman" w:ascii="Times New Roman" w:hAnsi="Times New Roman"/>
          <w:sz w:val="24"/>
          <w:szCs w:val="24"/>
        </w:rPr>
        <w:t>реализацију мера енергетске санације (у даљем тексту: Комисија).</w:t>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lang w:val="en-US"/>
        </w:rPr>
        <w:t>IV</w:t>
      </w:r>
      <w:r>
        <w:rPr>
          <w:rFonts w:cs="Times New Roman" w:ascii="Times New Roman" w:hAnsi="Times New Roman"/>
          <w:b/>
          <w:bCs/>
          <w:sz w:val="24"/>
          <w:szCs w:val="24"/>
        </w:rPr>
        <w:t>. ПРЕУЗИМАЊЕ ДОКУМЕНТАЦИЈЕ ЗА ЈАВНИ ПОЗИВ</w:t>
      </w:r>
    </w:p>
    <w:p>
      <w:pPr>
        <w:pStyle w:val="Normal"/>
        <w:spacing w:lineRule="auto" w:line="276" w:before="0" w:after="0"/>
        <w:jc w:val="both"/>
        <w:rPr>
          <w:rFonts w:ascii="Times New Roman" w:hAnsi="Times New Roman" w:cs="Times New Roman"/>
          <w:b/>
          <w:b/>
          <w:bCs/>
          <w:i/>
          <w:i/>
          <w:iCs/>
          <w:sz w:val="24"/>
          <w:szCs w:val="24"/>
          <w:u w:val="single"/>
        </w:rPr>
      </w:pPr>
      <w:r>
        <w:rPr>
          <w:rFonts w:cs="Times New Roman" w:ascii="Times New Roman" w:hAnsi="Times New Roman"/>
          <w:b/>
          <w:bCs/>
          <w:i/>
          <w:iCs/>
          <w:sz w:val="24"/>
          <w:szCs w:val="24"/>
          <w:u w:val="single"/>
        </w:rPr>
      </w:r>
    </w:p>
    <w:p>
      <w:pPr>
        <w:pStyle w:val="Normal"/>
        <w:spacing w:lineRule="auto" w:line="276" w:before="0" w:after="0"/>
        <w:ind w:firstLine="360"/>
        <w:jc w:val="both"/>
        <w:rPr/>
      </w:pPr>
      <w:r>
        <w:rPr>
          <w:rFonts w:cs="Times New Roman" w:ascii="Times New Roman" w:hAnsi="Times New Roman"/>
          <w:sz w:val="24"/>
          <w:szCs w:val="24"/>
        </w:rPr>
        <w:t xml:space="preserve">Документација за Јавни позив може се преузети на интернет страници </w:t>
      </w:r>
      <w:r>
        <w:rPr>
          <w:rFonts w:cs="Times New Roman" w:ascii="Times New Roman" w:hAnsi="Times New Roman"/>
          <w:sz w:val="24"/>
          <w:szCs w:val="24"/>
          <w:lang w:val="hr-HR"/>
        </w:rPr>
        <w:t>www.ada.org.rs</w:t>
      </w:r>
      <w:r>
        <w:rPr>
          <w:rFonts w:cs="Times New Roman" w:ascii="Times New Roman" w:hAnsi="Times New Roman"/>
          <w:sz w:val="24"/>
          <w:szCs w:val="24"/>
        </w:rPr>
        <w:t xml:space="preserve"> или лично у просторијама ЈЛС, у канцеларији бр. 25 и садржи:</w:t>
      </w:r>
    </w:p>
    <w:p>
      <w:pPr>
        <w:pStyle w:val="ListParagraph"/>
        <w:numPr>
          <w:ilvl w:val="0"/>
          <w:numId w:val="3"/>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Јавни позив,</w:t>
      </w:r>
    </w:p>
    <w:p>
      <w:pPr>
        <w:pStyle w:val="ListParagraph"/>
        <w:numPr>
          <w:ilvl w:val="0"/>
          <w:numId w:val="3"/>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Прилог 1: Пријава,</w:t>
      </w:r>
    </w:p>
    <w:p>
      <w:pPr>
        <w:pStyle w:val="ListParagraph"/>
        <w:numPr>
          <w:ilvl w:val="0"/>
          <w:numId w:val="3"/>
        </w:numPr>
        <w:spacing w:lineRule="auto" w:line="276" w:before="0" w:after="0"/>
        <w:contextualSpacing/>
        <w:jc w:val="both"/>
        <w:rPr/>
      </w:pPr>
      <w:r>
        <w:rPr>
          <w:rFonts w:cs="Times New Roman" w:ascii="Times New Roman" w:hAnsi="Times New Roman"/>
          <w:sz w:val="24"/>
          <w:szCs w:val="24"/>
        </w:rPr>
        <w:t>Прилог 2: Изјава и</w:t>
      </w:r>
    </w:p>
    <w:p>
      <w:pPr>
        <w:pStyle w:val="ListParagraph"/>
        <w:numPr>
          <w:ilvl w:val="0"/>
          <w:numId w:val="2"/>
        </w:numPr>
        <w:spacing w:lineRule="auto" w:line="276" w:before="0" w:after="0"/>
        <w:contextualSpacing/>
        <w:jc w:val="both"/>
        <w:rPr>
          <w:rFonts w:ascii="Times New Roman" w:hAnsi="Times New Roman" w:eastAsia="Times New Roman" w:cs="Times New Roman"/>
          <w:sz w:val="24"/>
          <w:szCs w:val="24"/>
        </w:rPr>
      </w:pPr>
      <w:r>
        <w:rPr>
          <w:rFonts w:cs="Times New Roman" w:ascii="Times New Roman" w:hAnsi="Times New Roman"/>
          <w:sz w:val="24"/>
          <w:szCs w:val="24"/>
        </w:rPr>
        <w:t>Прилог 3: К</w:t>
      </w:r>
      <w:r>
        <w:rPr>
          <w:rFonts w:eastAsia="Times New Roman" w:cs="Times New Roman" w:ascii="Times New Roman" w:hAnsi="Times New Roman"/>
          <w:sz w:val="24"/>
          <w:szCs w:val="24"/>
        </w:rPr>
        <w:t>онтролна листа плана за управљање животном средином и социјалним питањима.</w:t>
      </w:r>
    </w:p>
    <w:p>
      <w:pPr>
        <w:pStyle w:val="Normal"/>
        <w:spacing w:lineRule="auto" w:line="276" w:before="0" w:after="0"/>
        <w:jc w:val="center"/>
        <w:rPr>
          <w:rFonts w:ascii="Times New Roman" w:hAnsi="Times New Roman" w:cs="Times New Roman"/>
          <w:bCs/>
          <w:sz w:val="24"/>
          <w:szCs w:val="24"/>
          <w:lang w:val="sr-Latn-RS"/>
        </w:rPr>
      </w:pPr>
      <w:r>
        <w:rPr>
          <w:rFonts w:cs="Times New Roman" w:ascii="Times New Roman" w:hAnsi="Times New Roman"/>
          <w:bCs/>
          <w:sz w:val="24"/>
          <w:szCs w:val="24"/>
          <w:lang w:val="sr-Latn-RS"/>
        </w:rPr>
      </w:r>
      <w:bookmarkStart w:id="8" w:name="_Hlk68985879"/>
      <w:bookmarkStart w:id="9" w:name="_Hlk68985879"/>
      <w:bookmarkEnd w:id="9"/>
    </w:p>
    <w:p>
      <w:pPr>
        <w:pStyle w:val="Normal"/>
        <w:spacing w:lineRule="auto" w:line="276" w:before="0" w:after="0"/>
        <w:jc w:val="center"/>
        <w:rPr>
          <w:rFonts w:ascii="Times New Roman" w:hAnsi="Times New Roman" w:cs="Times New Roman"/>
          <w:b/>
          <w:b/>
          <w:bCs/>
          <w:sz w:val="24"/>
          <w:szCs w:val="24"/>
          <w:lang w:val="ru-RU"/>
        </w:rPr>
      </w:pPr>
      <w:r>
        <w:rPr>
          <w:rFonts w:cs="Times New Roman" w:ascii="Times New Roman" w:hAnsi="Times New Roman"/>
          <w:b/>
          <w:bCs/>
          <w:sz w:val="24"/>
          <w:szCs w:val="24"/>
          <w:lang w:val="en-US"/>
        </w:rPr>
        <w:t>V</w:t>
      </w:r>
      <w:r>
        <w:rPr>
          <w:rFonts w:cs="Times New Roman" w:ascii="Times New Roman" w:hAnsi="Times New Roman"/>
          <w:b/>
          <w:bCs/>
          <w:sz w:val="24"/>
          <w:szCs w:val="24"/>
        </w:rPr>
        <w:t>.</w:t>
      </w:r>
      <w:r>
        <w:rPr>
          <w:rFonts w:cs="Times New Roman" w:ascii="Times New Roman" w:hAnsi="Times New Roman"/>
          <w:b/>
          <w:bCs/>
          <w:sz w:val="24"/>
          <w:szCs w:val="24"/>
          <w:lang w:val="ru-RU"/>
        </w:rPr>
        <w:t xml:space="preserve"> МЕСТО И РОК ПОДНОШЕЊА ПРИЈАВА</w:t>
      </w:r>
    </w:p>
    <w:p>
      <w:pPr>
        <w:pStyle w:val="Normal"/>
        <w:spacing w:lineRule="auto" w:line="276"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Јавни позив ће трајати до утрошка финансијских средстава за реализацију пројекта „Чиста енергија и енергетска ефикасност за грађане у Србији“, а најдуже до</w:t>
      </w:r>
      <w:r>
        <w:rPr>
          <w:rFonts w:cs="Times New Roman" w:ascii="Times New Roman" w:hAnsi="Times New Roman"/>
          <w:sz w:val="24"/>
          <w:szCs w:val="24"/>
          <w:lang w:val="en-US"/>
        </w:rPr>
        <w:t xml:space="preserve"> 30. 11. 2027. </w:t>
      </w:r>
      <w:r>
        <w:rPr>
          <w:rFonts w:cs="Times New Roman" w:ascii="Times New Roman" w:hAnsi="Times New Roman"/>
          <w:sz w:val="24"/>
          <w:szCs w:val="24"/>
        </w:rPr>
        <w:t>године.</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sz w:val="24"/>
          <w:szCs w:val="24"/>
        </w:rPr>
        <w:tab/>
        <w:t>Документација се доставља  у затвореној коверти са назнаком:</w:t>
      </w:r>
      <w:r>
        <w:rPr>
          <w:rFonts w:cs="Times New Roman" w:ascii="Times New Roman" w:hAnsi="Times New Roman"/>
          <w:b/>
          <w:bCs/>
          <w:sz w:val="24"/>
          <w:szCs w:val="24"/>
        </w:rPr>
        <w:t xml:space="preserve"> </w:t>
      </w:r>
      <w:r>
        <w:rPr>
          <w:rStyle w:val="Strong"/>
          <w:rFonts w:cs="Times New Roman" w:ascii="Times New Roman" w:hAnsi="Times New Roman"/>
          <w:sz w:val="24"/>
          <w:szCs w:val="24"/>
          <w:shd w:fill="FFFFFF" w:val="clear"/>
        </w:rPr>
        <w:t>„Пријава за Јавни позив за</w:t>
      </w:r>
      <w:r>
        <w:rPr>
          <w:rFonts w:cs="Times New Roman" w:ascii="Times New Roman" w:hAnsi="Times New Roman"/>
          <w:b/>
          <w:bCs/>
          <w:sz w:val="24"/>
          <w:szCs w:val="24"/>
        </w:rPr>
        <w:t xml:space="preserve"> учешће директних корисника (привредних субјеката) у спровођењу мера енергетске санације породичних кућа и станова </w:t>
      </w:r>
      <w:r>
        <w:rPr>
          <w:rStyle w:val="Strong"/>
          <w:rFonts w:cs="Times New Roman" w:ascii="Times New Roman" w:hAnsi="Times New Roman"/>
          <w:sz w:val="24"/>
          <w:szCs w:val="24"/>
          <w:shd w:fill="FFFFFF" w:val="clear"/>
        </w:rPr>
        <w:t xml:space="preserve">– НЕ </w:t>
      </w:r>
      <w:r>
        <w:rPr>
          <w:rStyle w:val="Strong"/>
          <w:rFonts w:cs="Times New Roman" w:ascii="Times New Roman" w:hAnsi="Times New Roman"/>
          <w:sz w:val="24"/>
          <w:szCs w:val="24"/>
        </w:rPr>
        <w:t xml:space="preserve">ОТВАРАТИˮ. </w:t>
      </w:r>
      <w:r>
        <w:rPr>
          <w:rStyle w:val="Strong"/>
          <w:rFonts w:cs="Times New Roman" w:ascii="Times New Roman" w:hAnsi="Times New Roman"/>
          <w:b w:val="false"/>
          <w:bCs w:val="false"/>
          <w:sz w:val="24"/>
          <w:szCs w:val="24"/>
        </w:rPr>
        <w:t>На</w:t>
      </w:r>
      <w:r>
        <w:rPr>
          <w:rFonts w:cs="Times New Roman" w:ascii="Times New Roman" w:hAnsi="Times New Roman"/>
          <w:sz w:val="24"/>
          <w:szCs w:val="24"/>
          <w:shd w:fill="FFFFFF" w:val="clear"/>
        </w:rPr>
        <w:t xml:space="preserve"> полеђини коверте навести контакт податке подносиоца пријаве. </w:t>
      </w:r>
    </w:p>
    <w:p>
      <w:pPr>
        <w:pStyle w:val="Normal"/>
        <w:spacing w:lineRule="auto" w:line="240" w:before="0" w:after="0"/>
        <w:contextualSpacing/>
        <w:jc w:val="both"/>
        <w:rPr/>
      </w:pPr>
      <w:r>
        <w:rPr>
          <w:rFonts w:cs="Times New Roman" w:ascii="Times New Roman" w:hAnsi="Times New Roman"/>
          <w:sz w:val="24"/>
          <w:szCs w:val="24"/>
          <w:shd w:fill="FFFFFF" w:val="clear"/>
        </w:rPr>
        <w:tab/>
        <w:t>Пријаве се достављају непосредно или препорученом поштом на адресу Трг ослобођења бр. 1, Ада 24430</w:t>
      </w:r>
      <w:r>
        <w:rPr>
          <w:rFonts w:cs="Times New Roman" w:ascii="Times New Roman" w:hAnsi="Times New Roman"/>
          <w:sz w:val="24"/>
          <w:szCs w:val="24"/>
          <w:shd w:fill="FFFFFF" w:val="clear"/>
          <w:lang w:val="sr-Latn-RS"/>
        </w:rPr>
        <w:t>.</w:t>
      </w:r>
    </w:p>
    <w:p>
      <w:pPr>
        <w:pStyle w:val="Normal"/>
        <w:spacing w:lineRule="auto" w:line="240" w:before="0" w:after="0"/>
        <w:contextualSpacing/>
        <w:jc w:val="both"/>
        <w:rPr/>
      </w:pPr>
      <w:r>
        <w:rPr>
          <w:rFonts w:cs="Times New Roman" w:ascii="Times New Roman" w:hAnsi="Times New Roman"/>
          <w:sz w:val="24"/>
          <w:szCs w:val="24"/>
          <w:shd w:fill="FFFFFF" w:val="clear"/>
        </w:rPr>
        <w:tab/>
      </w:r>
      <w:r>
        <w:rPr>
          <w:rStyle w:val="Strong"/>
          <w:rFonts w:cs="Times New Roman" w:ascii="Times New Roman" w:hAnsi="Times New Roman"/>
          <w:b w:val="false"/>
          <w:bCs w:val="false"/>
          <w:sz w:val="24"/>
          <w:szCs w:val="24"/>
          <w:shd w:fill="FFFFFF" w:val="clear"/>
        </w:rPr>
        <w:t>За све додатне информације и обавештења у вези Јавног позива заинтересована лица се  могу обратити на контакт телефон 024/852-106 лок.125</w:t>
      </w:r>
      <w:r>
        <w:rPr>
          <w:rFonts w:cs="Times New Roman" w:ascii="Times New Roman" w:hAnsi="Times New Roman"/>
          <w:sz w:val="24"/>
          <w:szCs w:val="24"/>
        </w:rPr>
        <w:t xml:space="preserve"> </w:t>
      </w:r>
      <w:r>
        <w:rPr>
          <w:rStyle w:val="Strong"/>
          <w:rFonts w:cs="Times New Roman" w:ascii="Times New Roman" w:hAnsi="Times New Roman"/>
          <w:b w:val="false"/>
          <w:bCs w:val="false"/>
          <w:sz w:val="24"/>
          <w:szCs w:val="24"/>
          <w:shd w:fill="FFFFFF" w:val="clear"/>
        </w:rPr>
        <w:t>или електронску адресу: е-</w:t>
      </w:r>
      <w:r>
        <w:rPr>
          <w:rStyle w:val="Strong"/>
          <w:rFonts w:cs="Times New Roman" w:ascii="Times New Roman" w:hAnsi="Times New Roman"/>
          <w:b w:val="false"/>
          <w:bCs w:val="false"/>
          <w:sz w:val="24"/>
          <w:szCs w:val="24"/>
          <w:shd w:fill="FFFFFF" w:val="clear"/>
          <w:lang w:val="en-US"/>
        </w:rPr>
        <w:t>mail</w:t>
      </w:r>
      <w:r>
        <w:rPr>
          <w:rStyle w:val="Strong"/>
          <w:rFonts w:cs="Times New Roman" w:ascii="Times New Roman" w:hAnsi="Times New Roman"/>
          <w:b w:val="false"/>
          <w:bCs w:val="false"/>
          <w:sz w:val="24"/>
          <w:szCs w:val="24"/>
          <w:shd w:fill="FFFFFF" w:val="clear"/>
        </w:rPr>
        <w:t xml:space="preserve">: </w:t>
      </w:r>
      <w:hyperlink r:id="rId3">
        <w:r>
          <w:rPr>
            <w:rStyle w:val="Strong"/>
            <w:rFonts w:cs="Times New Roman" w:ascii="Times New Roman" w:hAnsi="Times New Roman"/>
            <w:b w:val="false"/>
            <w:bCs w:val="false"/>
            <w:sz w:val="24"/>
            <w:szCs w:val="24"/>
            <w:shd w:fill="FFFFFF" w:val="clear"/>
            <w:lang w:val="hr-HR"/>
          </w:rPr>
          <w:t>m</w:t>
        </w:r>
      </w:hyperlink>
      <w:r>
        <w:rPr>
          <w:rStyle w:val="Strong"/>
          <w:rFonts w:cs="Times New Roman" w:ascii="Times New Roman" w:hAnsi="Times New Roman"/>
          <w:b w:val="false"/>
          <w:bCs w:val="false"/>
          <w:sz w:val="24"/>
          <w:szCs w:val="24"/>
          <w:shd w:fill="FFFFFF" w:val="clear"/>
          <w:lang w:val="hr-HR"/>
        </w:rPr>
        <w:t>ilva@ada.org.rs</w:t>
      </w:r>
    </w:p>
    <w:p>
      <w:pPr>
        <w:pStyle w:val="Normal"/>
        <w:spacing w:lineRule="auto" w:line="240" w:before="0" w:after="0"/>
        <w:jc w:val="both"/>
        <w:rPr/>
      </w:pPr>
      <w:r>
        <w:rPr>
          <w:rFonts w:cs="Times New Roman" w:ascii="Times New Roman" w:hAnsi="Times New Roman"/>
          <w:sz w:val="24"/>
          <w:szCs w:val="24"/>
          <w:lang w:val="ru-RU"/>
        </w:rPr>
        <w:tab/>
        <w:t xml:space="preserve">Сва питања и одговори биће објављени на интернет страници </w:t>
      </w:r>
      <w:r>
        <w:rPr>
          <w:rFonts w:cs="Times New Roman" w:ascii="Times New Roman" w:hAnsi="Times New Roman"/>
          <w:sz w:val="24"/>
          <w:szCs w:val="24"/>
        </w:rPr>
        <w:t>ЈЛС</w:t>
      </w:r>
      <w:r>
        <w:rPr>
          <w:rFonts w:cs="Times New Roman" w:ascii="Times New Roman" w:hAnsi="Times New Roman"/>
          <w:sz w:val="24"/>
          <w:szCs w:val="24"/>
          <w:lang w:val="sr-Latn-RS"/>
        </w:rPr>
        <w:t xml:space="preserve"> </w:t>
      </w:r>
      <w:r>
        <w:rPr>
          <w:rFonts w:cs="Times New Roman" w:ascii="Times New Roman" w:hAnsi="Times New Roman"/>
          <w:sz w:val="24"/>
          <w:szCs w:val="24"/>
          <w:lang w:val="hr-HR"/>
        </w:rPr>
        <w:t>www.ada.org.rs</w:t>
      </w:r>
      <w:r>
        <w:rPr>
          <w:rFonts w:cs="Times New Roman" w:ascii="Times New Roman" w:hAnsi="Times New Roman"/>
          <w:sz w:val="24"/>
          <w:szCs w:val="24"/>
          <w:lang w:val="sr-Latn-RS"/>
        </w:rPr>
        <w:t>.</w:t>
      </w:r>
    </w:p>
    <w:p>
      <w:pPr>
        <w:pStyle w:val="Normal"/>
        <w:spacing w:lineRule="auto" w:line="276"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t>VI. УТВРЂИВАЊЕ ИСПУЊЕНОСТИ УСЛОВА ЗА ДОДЕЛУ СРЕДСТАВА</w:t>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t xml:space="preserve"> </w:t>
      </w:r>
    </w:p>
    <w:p>
      <w:pPr>
        <w:pStyle w:val="Normal"/>
        <w:spacing w:lineRule="auto" w:line="276" w:before="0" w:after="0"/>
        <w:ind w:firstLine="720"/>
        <w:jc w:val="both"/>
        <w:rPr>
          <w:rFonts w:ascii="Times New Roman" w:hAnsi="Times New Roman" w:cs="Times New Roman"/>
          <w:bCs/>
          <w:sz w:val="24"/>
          <w:szCs w:val="24"/>
          <w:lang w:val="sr-Latn-RS"/>
        </w:rPr>
      </w:pPr>
      <w:r>
        <w:rPr>
          <w:rFonts w:cs="Times New Roman" w:ascii="Times New Roman" w:hAnsi="Times New Roman"/>
          <w:bCs/>
          <w:sz w:val="24"/>
          <w:szCs w:val="24"/>
          <w:lang w:val="sr-Latn-RS"/>
        </w:rPr>
        <w:t>Комисија утврђује испуњеност услова за избор привредног субјекта за спровођење мера енергетске санације на основу прегледа поднете документације из поглавља III.</w:t>
      </w:r>
    </w:p>
    <w:p>
      <w:pPr>
        <w:pStyle w:val="Normal"/>
        <w:spacing w:lineRule="auto" w:line="276" w:before="0" w:after="0"/>
        <w:ind w:firstLine="720"/>
        <w:jc w:val="both"/>
        <w:rPr>
          <w:rFonts w:ascii="Times New Roman" w:hAnsi="Times New Roman" w:cs="Times New Roman"/>
          <w:sz w:val="24"/>
          <w:szCs w:val="24"/>
        </w:rPr>
      </w:pPr>
      <w:r>
        <w:rPr>
          <w:rFonts w:cs="Times New Roman" w:ascii="Times New Roman" w:hAnsi="Times New Roman"/>
          <w:sz w:val="24"/>
          <w:szCs w:val="24"/>
          <w:lang w:val="sr-Latn-RS"/>
        </w:rPr>
        <w:t xml:space="preserve">У току поступка утврђивања испуњености услова </w:t>
      </w:r>
      <w:r>
        <w:rPr>
          <w:rFonts w:cs="Times New Roman" w:ascii="Times New Roman" w:hAnsi="Times New Roman"/>
          <w:sz w:val="24"/>
          <w:szCs w:val="24"/>
        </w:rPr>
        <w:t>Комисија</w:t>
      </w:r>
      <w:r>
        <w:rPr>
          <w:rFonts w:cs="Times New Roman" w:ascii="Times New Roman" w:hAnsi="Times New Roman"/>
          <w:sz w:val="24"/>
          <w:szCs w:val="24"/>
          <w:lang w:val="sr-Latn-RS"/>
        </w:rPr>
        <w:t xml:space="preserve"> може да од </w:t>
      </w:r>
      <w:r>
        <w:rPr>
          <w:rFonts w:cs="Times New Roman" w:ascii="Times New Roman" w:hAnsi="Times New Roman"/>
          <w:sz w:val="24"/>
          <w:szCs w:val="24"/>
        </w:rPr>
        <w:t>П</w:t>
      </w:r>
      <w:r>
        <w:rPr>
          <w:rFonts w:cs="Times New Roman" w:ascii="Times New Roman" w:hAnsi="Times New Roman"/>
          <w:sz w:val="24"/>
          <w:szCs w:val="24"/>
          <w:lang w:val="sr-Latn-RS"/>
        </w:rPr>
        <w:t xml:space="preserve">односиоца пријаве, према потреби, затражи додатну документацију и информације </w:t>
      </w:r>
      <w:r>
        <w:rPr>
          <w:rFonts w:eastAsia="Times New Roman" w:cs="Times New Roman" w:ascii="Times New Roman" w:hAnsi="Times New Roman"/>
          <w:sz w:val="24"/>
          <w:szCs w:val="24"/>
        </w:rPr>
        <w:t>у циљу провере испуњености неопходних услова за које се привредни субјекат изјаснио поднетим изјавом</w:t>
      </w:r>
      <w:r>
        <w:rPr>
          <w:rFonts w:cs="Times New Roman" w:ascii="Times New Roman" w:hAnsi="Times New Roman"/>
          <w:sz w:val="24"/>
          <w:szCs w:val="24"/>
        </w:rPr>
        <w:t>.</w:t>
      </w:r>
    </w:p>
    <w:p>
      <w:pPr>
        <w:pStyle w:val="Normal"/>
        <w:spacing w:lineRule="auto" w:line="276" w:before="0" w:after="0"/>
        <w:ind w:firstLine="72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t xml:space="preserve">VII. </w:t>
      </w:r>
      <w:r>
        <w:rPr>
          <w:rFonts w:cs="Times New Roman" w:ascii="Times New Roman" w:hAnsi="Times New Roman"/>
          <w:b/>
          <w:bCs/>
          <w:sz w:val="24"/>
          <w:szCs w:val="24"/>
        </w:rPr>
        <w:t xml:space="preserve">УТВРЂИВАЊЕ ЛИСТЕ </w:t>
      </w:r>
      <w:r>
        <w:rPr>
          <w:rFonts w:cs="Times New Roman" w:ascii="Times New Roman" w:hAnsi="Times New Roman"/>
          <w:b/>
          <w:bCs/>
          <w:sz w:val="24"/>
          <w:szCs w:val="24"/>
          <w:lang w:val="sr-Latn-RS"/>
        </w:rPr>
        <w:t xml:space="preserve"> </w:t>
      </w:r>
      <w:r>
        <w:rPr>
          <w:rFonts w:cs="Times New Roman" w:ascii="Times New Roman" w:hAnsi="Times New Roman"/>
          <w:b/>
          <w:bCs/>
          <w:sz w:val="24"/>
          <w:szCs w:val="24"/>
        </w:rPr>
        <w:t>ПРИВРЕДНИХ СУБЈЕКАТА</w:t>
      </w:r>
    </w:p>
    <w:p>
      <w:pPr>
        <w:pStyle w:val="Normal"/>
        <w:spacing w:lineRule="auto" w:line="276" w:before="0" w:after="0"/>
        <w:jc w:val="center"/>
        <w:rPr>
          <w:rFonts w:ascii="Times New Roman" w:hAnsi="Times New Roman" w:cs="Times New Roman"/>
          <w:b/>
          <w:b/>
          <w:bCs/>
          <w:sz w:val="24"/>
          <w:szCs w:val="24"/>
          <w:lang w:val="sr-Latn-RS"/>
        </w:rPr>
      </w:pPr>
      <w:r>
        <w:rPr>
          <w:rFonts w:cs="Times New Roman" w:ascii="Times New Roman" w:hAnsi="Times New Roman"/>
          <w:b/>
          <w:bCs/>
          <w:sz w:val="24"/>
          <w:szCs w:val="24"/>
          <w:lang w:val="sr-Latn-RS"/>
        </w:rPr>
        <w:t xml:space="preserve"> </w:t>
      </w:r>
    </w:p>
    <w:p>
      <w:pPr>
        <w:pStyle w:val="Normal"/>
        <w:spacing w:lineRule="auto" w:line="276" w:before="0" w:after="0"/>
        <w:ind w:firstLine="720"/>
        <w:jc w:val="both"/>
        <w:rPr>
          <w:rFonts w:ascii="Times New Roman" w:hAnsi="Times New Roman" w:cs="Times New Roman"/>
          <w:bCs/>
          <w:sz w:val="24"/>
          <w:szCs w:val="24"/>
          <w:lang w:val="sr-Latn-RS"/>
        </w:rPr>
      </w:pPr>
      <w:r>
        <w:rPr>
          <w:rFonts w:cs="Times New Roman" w:ascii="Times New Roman" w:hAnsi="Times New Roman"/>
          <w:bCs/>
          <w:sz w:val="24"/>
          <w:szCs w:val="24"/>
        </w:rPr>
        <w:t>Комисија</w:t>
      </w:r>
      <w:r>
        <w:rPr>
          <w:rFonts w:cs="Times New Roman" w:ascii="Times New Roman" w:hAnsi="Times New Roman"/>
          <w:bCs/>
          <w:sz w:val="24"/>
          <w:szCs w:val="24"/>
          <w:lang w:val="sr-Latn-RS"/>
        </w:rPr>
        <w:t xml:space="preserve"> решењем утврђује испуњеност услова и обавештава </w:t>
      </w:r>
      <w:r>
        <w:rPr>
          <w:rFonts w:cs="Times New Roman" w:ascii="Times New Roman" w:hAnsi="Times New Roman"/>
          <w:bCs/>
          <w:sz w:val="24"/>
          <w:szCs w:val="24"/>
        </w:rPr>
        <w:t>п</w:t>
      </w:r>
      <w:r>
        <w:rPr>
          <w:rFonts w:cs="Times New Roman" w:ascii="Times New Roman" w:hAnsi="Times New Roman"/>
          <w:bCs/>
          <w:sz w:val="24"/>
          <w:szCs w:val="24"/>
          <w:lang w:val="sr-Latn-RS"/>
        </w:rPr>
        <w:t xml:space="preserve">односиоца </w:t>
      </w:r>
      <w:r>
        <w:rPr>
          <w:rFonts w:cs="Times New Roman" w:ascii="Times New Roman" w:hAnsi="Times New Roman"/>
          <w:bCs/>
          <w:sz w:val="24"/>
          <w:szCs w:val="24"/>
        </w:rPr>
        <w:t>П</w:t>
      </w:r>
      <w:r>
        <w:rPr>
          <w:rFonts w:cs="Times New Roman" w:ascii="Times New Roman" w:hAnsi="Times New Roman"/>
          <w:bCs/>
          <w:sz w:val="24"/>
          <w:szCs w:val="24"/>
          <w:lang w:val="sr-Latn-RS"/>
        </w:rPr>
        <w:t>ријаве.</w:t>
      </w:r>
    </w:p>
    <w:p>
      <w:pPr>
        <w:pStyle w:val="Normal"/>
        <w:spacing w:lineRule="auto" w:line="240" w:before="0" w:after="0"/>
        <w:jc w:val="both"/>
        <w:rPr>
          <w:rFonts w:ascii="Times New Roman" w:hAnsi="Times New Roman" w:eastAsia="Times New Roman" w:cs="Times New Roman"/>
          <w:sz w:val="24"/>
          <w:szCs w:val="24"/>
          <w:lang w:val="sr-Latn-RS"/>
        </w:rPr>
      </w:pPr>
      <w:r>
        <w:rPr>
          <w:rFonts w:cs="Times New Roman" w:ascii="Times New Roman" w:hAnsi="Times New Roman"/>
          <w:bCs/>
          <w:sz w:val="24"/>
          <w:szCs w:val="24"/>
          <w:lang w:val="sr-Latn-RS"/>
        </w:rPr>
        <w:t xml:space="preserve">  </w:t>
      </w:r>
      <w:r>
        <w:rPr>
          <w:rFonts w:cs="Times New Roman" w:ascii="Times New Roman" w:hAnsi="Times New Roman"/>
          <w:sz w:val="24"/>
          <w:szCs w:val="24"/>
          <w:lang w:val="sr-Latn-RS"/>
        </w:rPr>
        <w:tab/>
        <w:t xml:space="preserve">На </w:t>
      </w:r>
      <w:r>
        <w:rPr>
          <w:rFonts w:cs="Times New Roman" w:ascii="Times New Roman" w:hAnsi="Times New Roman"/>
          <w:bCs/>
          <w:sz w:val="24"/>
          <w:szCs w:val="24"/>
          <w:lang w:val="sr-Latn-RS"/>
        </w:rPr>
        <w:t>решење из става</w:t>
      </w:r>
      <w:r>
        <w:rPr>
          <w:rFonts w:cs="Times New Roman" w:ascii="Times New Roman" w:hAnsi="Times New Roman"/>
          <w:sz w:val="24"/>
          <w:szCs w:val="24"/>
          <w:lang w:val="sr-Latn-RS"/>
        </w:rPr>
        <w:t xml:space="preserve"> 1</w:t>
      </w:r>
      <w:r>
        <w:rPr>
          <w:rFonts w:cs="Times New Roman" w:ascii="Times New Roman" w:hAnsi="Times New Roman"/>
          <w:sz w:val="24"/>
          <w:szCs w:val="24"/>
        </w:rPr>
        <w:t>.</w:t>
      </w:r>
      <w:r>
        <w:rPr>
          <w:rFonts w:cs="Times New Roman" w:ascii="Times New Roman" w:hAnsi="Times New Roman"/>
          <w:sz w:val="24"/>
          <w:szCs w:val="24"/>
          <w:lang w:val="sr-Latn-RS"/>
        </w:rPr>
        <w:t xml:space="preserve"> </w:t>
      </w:r>
      <w:r>
        <w:rPr>
          <w:rFonts w:cs="Times New Roman" w:ascii="Times New Roman" w:hAnsi="Times New Roman"/>
          <w:bCs/>
          <w:sz w:val="24"/>
          <w:szCs w:val="24"/>
          <w:lang w:val="sr-Latn-RS"/>
        </w:rPr>
        <w:t xml:space="preserve">овог поглавља којим је утврђено да нису испуњени услови за избор привредног субјекта за спровођење мера енергетске санације, </w:t>
      </w:r>
      <w:r>
        <w:rPr>
          <w:rFonts w:cs="Times New Roman" w:ascii="Times New Roman" w:hAnsi="Times New Roman"/>
          <w:bCs/>
          <w:sz w:val="24"/>
          <w:szCs w:val="24"/>
        </w:rPr>
        <w:t>п</w:t>
      </w:r>
      <w:r>
        <w:rPr>
          <w:rFonts w:cs="Times New Roman" w:ascii="Times New Roman" w:hAnsi="Times New Roman"/>
          <w:bCs/>
          <w:sz w:val="24"/>
          <w:szCs w:val="24"/>
          <w:lang w:val="sr-Latn-RS"/>
        </w:rPr>
        <w:t xml:space="preserve">односилац </w:t>
      </w:r>
      <w:r>
        <w:rPr>
          <w:rFonts w:cs="Times New Roman" w:ascii="Times New Roman" w:hAnsi="Times New Roman"/>
          <w:bCs/>
          <w:sz w:val="24"/>
          <w:szCs w:val="24"/>
        </w:rPr>
        <w:t>П</w:t>
      </w:r>
      <w:r>
        <w:rPr>
          <w:rFonts w:cs="Times New Roman" w:ascii="Times New Roman" w:hAnsi="Times New Roman"/>
          <w:bCs/>
          <w:sz w:val="24"/>
          <w:szCs w:val="24"/>
          <w:lang w:val="sr-Latn-RS"/>
        </w:rPr>
        <w:t>ријаве има</w:t>
      </w:r>
      <w:r>
        <w:rPr>
          <w:rFonts w:cs="Times New Roman" w:ascii="Times New Roman" w:hAnsi="Times New Roman"/>
          <w:sz w:val="24"/>
          <w:szCs w:val="24"/>
          <w:lang w:val="sr-Latn-RS"/>
        </w:rPr>
        <w:t xml:space="preserve"> право приговора Комисији у року од осам дана од дана </w:t>
      </w:r>
      <w:r>
        <w:rPr>
          <w:rFonts w:cs="Times New Roman" w:ascii="Times New Roman" w:hAnsi="Times New Roman"/>
          <w:bCs/>
          <w:sz w:val="24"/>
          <w:szCs w:val="24"/>
          <w:lang w:val="sr-Latn-RS"/>
        </w:rPr>
        <w:t>доношења решења</w:t>
      </w:r>
      <w:r>
        <w:rPr>
          <w:rFonts w:cs="Times New Roman" w:ascii="Times New Roman" w:hAnsi="Times New Roman"/>
          <w:sz w:val="24"/>
          <w:szCs w:val="24"/>
          <w:lang w:val="sr-Latn-RS"/>
        </w:rPr>
        <w:t>.</w:t>
      </w:r>
    </w:p>
    <w:p>
      <w:pPr>
        <w:pStyle w:val="Normal"/>
        <w:spacing w:lineRule="auto" w:line="276" w:before="0" w:after="0"/>
        <w:ind w:firstLine="720"/>
        <w:jc w:val="both"/>
        <w:rPr>
          <w:rFonts w:ascii="Times New Roman" w:hAnsi="Times New Roman" w:eastAsia="Times New Roman" w:cs="Times New Roman"/>
          <w:sz w:val="24"/>
          <w:szCs w:val="24"/>
          <w:lang w:val="sr-Latn-RS"/>
        </w:rPr>
      </w:pPr>
      <w:r>
        <w:rPr>
          <w:rFonts w:cs="Times New Roman" w:ascii="Times New Roman" w:hAnsi="Times New Roman"/>
          <w:sz w:val="24"/>
          <w:szCs w:val="24"/>
          <w:lang w:val="sr-Latn-RS"/>
        </w:rPr>
        <w:t xml:space="preserve">Комисија је дужна да </w:t>
      </w:r>
      <w:r>
        <w:rPr>
          <w:rFonts w:cs="Times New Roman" w:ascii="Times New Roman" w:hAnsi="Times New Roman"/>
          <w:bCs/>
          <w:sz w:val="24"/>
          <w:szCs w:val="24"/>
          <w:lang w:val="sr-Latn-RS"/>
        </w:rPr>
        <w:t>одлучи по приговорима из става 2. овог поглавља</w:t>
      </w:r>
      <w:r>
        <w:rPr>
          <w:rFonts w:cs="Times New Roman" w:ascii="Times New Roman" w:hAnsi="Times New Roman"/>
          <w:sz w:val="24"/>
          <w:szCs w:val="24"/>
          <w:lang w:val="sr-Latn-RS"/>
        </w:rPr>
        <w:t xml:space="preserve"> у року од 15 дана од дана пријема</w:t>
      </w:r>
      <w:r>
        <w:rPr>
          <w:rFonts w:cs="Times New Roman" w:ascii="Times New Roman" w:hAnsi="Times New Roman"/>
          <w:bCs/>
          <w:sz w:val="24"/>
          <w:szCs w:val="24"/>
          <w:lang w:val="sr-Latn-RS"/>
        </w:rPr>
        <w:t xml:space="preserve"> приговора.</w:t>
      </w:r>
    </w:p>
    <w:p>
      <w:pPr>
        <w:pStyle w:val="Normal"/>
        <w:spacing w:lineRule="auto" w:line="276" w:before="0" w:after="0"/>
        <w:ind w:firstLine="61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 случају одбијања приговора из става 2. овог члана или уколико се не достави одговор Комисије у року од 15 дана директни корисник има право да поднесе приговор  већу града/општине у року од 8 дана од дана пријема одлуке по приговору из става 2. овог члана и да о приговору обавести Јединицу за имплементацију пројекта „Чиста енергија и енергетска ефикасност за грађане у Србији“ (у даљем тексту: ЈИП).</w:t>
      </w:r>
    </w:p>
    <w:p>
      <w:pPr>
        <w:pStyle w:val="Normal"/>
        <w:spacing w:lineRule="auto" w:line="276" w:before="0" w:after="0"/>
        <w:ind w:firstLine="61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Градско/Општинско веће је дужно да одлучи по приговорима из става 4. овог члана у року од 15 дана од дана пријема приговора. </w:t>
      </w:r>
    </w:p>
    <w:p>
      <w:pPr>
        <w:pStyle w:val="Normal"/>
        <w:spacing w:lineRule="auto" w:line="276" w:before="0" w:after="0"/>
        <w:ind w:firstLine="61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Одлука Градског/Општинског већа је коначна.</w:t>
      </w:r>
    </w:p>
    <w:p>
      <w:pPr>
        <w:pStyle w:val="Normal"/>
        <w:spacing w:lineRule="auto" w:line="276" w:before="0" w:after="0"/>
        <w:ind w:firstLine="612"/>
        <w:jc w:val="both"/>
        <w:rPr/>
      </w:pPr>
      <w:r>
        <w:rPr>
          <w:rFonts w:eastAsia="Times New Roman" w:cs="Times New Roman" w:ascii="Times New Roman" w:hAnsi="Times New Roman"/>
          <w:sz w:val="24"/>
          <w:szCs w:val="24"/>
        </w:rPr>
        <w:t xml:space="preserve">Комисија </w:t>
      </w:r>
      <w:r>
        <w:rPr>
          <w:rFonts w:cs="Times New Roman" w:ascii="Times New Roman" w:hAnsi="Times New Roman"/>
          <w:bCs/>
          <w:sz w:val="24"/>
          <w:szCs w:val="24"/>
        </w:rPr>
        <w:t>формира  прву листу привредних субјеката који су</w:t>
      </w:r>
      <w:r>
        <w:rPr>
          <w:rFonts w:eastAsia="Times New Roman" w:cs="Times New Roman" w:ascii="Times New Roman" w:hAnsi="Times New Roman"/>
          <w:sz w:val="24"/>
          <w:szCs w:val="24"/>
        </w:rPr>
        <w:t xml:space="preserve"> на </w:t>
      </w:r>
      <w:r>
        <w:rPr>
          <w:rFonts w:cs="Times New Roman" w:ascii="Times New Roman" w:hAnsi="Times New Roman"/>
          <w:bCs/>
          <w:sz w:val="24"/>
          <w:szCs w:val="24"/>
        </w:rPr>
        <w:t xml:space="preserve">основу решења из тачке 1. испунили услове из Јавног позива и </w:t>
      </w:r>
      <w:r>
        <w:rPr>
          <w:rFonts w:eastAsia="Times New Roman" w:cs="Times New Roman" w:ascii="Times New Roman" w:hAnsi="Times New Roman"/>
          <w:sz w:val="24"/>
          <w:szCs w:val="24"/>
        </w:rPr>
        <w:t xml:space="preserve">објављује </w:t>
      </w:r>
      <w:r>
        <w:rPr>
          <w:rFonts w:cs="Times New Roman" w:ascii="Times New Roman" w:hAnsi="Times New Roman"/>
          <w:bCs/>
          <w:sz w:val="24"/>
          <w:szCs w:val="24"/>
        </w:rPr>
        <w:t xml:space="preserve">је без одлагања (или у року од једног дана)  </w:t>
      </w:r>
      <w:r>
        <w:rPr>
          <w:rFonts w:eastAsia="Times New Roman" w:cs="Times New Roman" w:ascii="Times New Roman" w:hAnsi="Times New Roman"/>
          <w:sz w:val="24"/>
          <w:szCs w:val="24"/>
        </w:rPr>
        <w:t xml:space="preserve">на интернет страници </w:t>
      </w:r>
      <w:r>
        <w:rPr>
          <w:rFonts w:cs="Times New Roman" w:ascii="Times New Roman" w:hAnsi="Times New Roman"/>
          <w:bCs/>
          <w:sz w:val="24"/>
          <w:szCs w:val="24"/>
        </w:rPr>
        <w:t xml:space="preserve">ЈЛС </w:t>
      </w:r>
      <w:r>
        <w:rPr>
          <w:rFonts w:cs="Times New Roman" w:ascii="Times New Roman" w:hAnsi="Times New Roman"/>
          <w:bCs/>
          <w:sz w:val="24"/>
          <w:szCs w:val="24"/>
          <w:lang w:val="hr-HR"/>
        </w:rPr>
        <w:t>www.ada.org.rs</w:t>
      </w:r>
      <w:r>
        <w:rPr>
          <w:rFonts w:cs="Times New Roman" w:ascii="Times New Roman" w:hAnsi="Times New Roman"/>
          <w:bCs/>
          <w:sz w:val="24"/>
          <w:szCs w:val="24"/>
        </w:rPr>
        <w:t>.</w:t>
      </w:r>
    </w:p>
    <w:p>
      <w:pPr>
        <w:pStyle w:val="Normal"/>
        <w:spacing w:lineRule="auto" w:line="276" w:before="0" w:after="0"/>
        <w:ind w:firstLine="720"/>
        <w:jc w:val="both"/>
        <w:rPr>
          <w:rFonts w:ascii="Times New Roman" w:hAnsi="Times New Roman" w:cs="Times New Roman"/>
          <w:bCs/>
          <w:sz w:val="24"/>
          <w:szCs w:val="24"/>
        </w:rPr>
      </w:pPr>
      <w:r>
        <w:rPr>
          <w:rFonts w:cs="Times New Roman" w:ascii="Times New Roman" w:hAnsi="Times New Roman"/>
          <w:bCs/>
          <w:sz w:val="24"/>
          <w:szCs w:val="24"/>
        </w:rPr>
        <w:t>Измена и допуна листе из става 7. овог поглавља се врши по потреби, а најдуже</w:t>
      </w:r>
      <w:r>
        <w:rPr>
          <w:rFonts w:cs="Times New Roman" w:ascii="Times New Roman" w:hAnsi="Times New Roman"/>
          <w:bCs/>
          <w:sz w:val="24"/>
          <w:szCs w:val="24"/>
          <w:lang w:val="en-US"/>
        </w:rPr>
        <w:t xml:space="preserve"> </w:t>
      </w:r>
      <w:r>
        <w:rPr>
          <w:rFonts w:cs="Times New Roman" w:ascii="Times New Roman" w:hAnsi="Times New Roman"/>
          <w:bCs/>
          <w:sz w:val="24"/>
          <w:szCs w:val="24"/>
        </w:rPr>
        <w:t>на сваких 15 дана.</w:t>
      </w:r>
    </w:p>
    <w:p>
      <w:pPr>
        <w:pStyle w:val="Normal"/>
        <w:spacing w:lineRule="auto" w:line="276" w:before="0" w:after="0"/>
        <w:ind w:firstLine="720"/>
        <w:jc w:val="both"/>
        <w:rPr>
          <w:rFonts w:ascii="Times New Roman" w:hAnsi="Times New Roman" w:cs="Times New Roman"/>
          <w:bCs/>
          <w:sz w:val="24"/>
          <w:szCs w:val="24"/>
        </w:rPr>
      </w:pPr>
      <w:r>
        <w:rPr>
          <w:rFonts w:cs="Times New Roman" w:ascii="Times New Roman" w:hAnsi="Times New Roman"/>
          <w:bCs/>
          <w:sz w:val="24"/>
          <w:szCs w:val="24"/>
        </w:rPr>
        <w:t>Листа из става 7. овог поглавља ће важити</w:t>
      </w:r>
      <w:r>
        <w:rPr>
          <w:rFonts w:cs="Times New Roman" w:ascii="Times New Roman" w:hAnsi="Times New Roman"/>
          <w:sz w:val="24"/>
          <w:szCs w:val="24"/>
        </w:rPr>
        <w:t xml:space="preserve"> </w:t>
      </w:r>
      <w:r>
        <w:rPr>
          <w:rFonts w:cs="Times New Roman" w:ascii="Times New Roman" w:hAnsi="Times New Roman"/>
          <w:bCs/>
          <w:sz w:val="24"/>
          <w:szCs w:val="24"/>
        </w:rPr>
        <w:t>до завршетка пројекта „Чиста енергија и енергетска ефикасност за грађане у Србији“, о чему ће Комисија благовремено обавестити привредне субјекте.</w:t>
      </w:r>
    </w:p>
    <w:p>
      <w:pPr>
        <w:pStyle w:val="Normal"/>
        <w:spacing w:lineRule="auto" w:line="276" w:before="0" w:after="0"/>
        <w:ind w:firstLine="720"/>
        <w:jc w:val="both"/>
        <w:rPr>
          <w:rFonts w:ascii="Times New Roman" w:hAnsi="Times New Roman" w:cs="Times New Roman"/>
          <w:bCs/>
          <w:sz w:val="24"/>
          <w:szCs w:val="24"/>
        </w:rPr>
      </w:pPr>
      <w:r>
        <w:rPr>
          <w:rFonts w:cs="Times New Roman" w:ascii="Times New Roman" w:hAnsi="Times New Roman"/>
          <w:bCs/>
          <w:sz w:val="24"/>
          <w:szCs w:val="24"/>
        </w:rPr>
        <w:t>Домаћинства која остваре право на суфинансирање могу набавити добра и услуге искључиво од привредних субјеката наведених у листи из става 7. овог поглавља.</w:t>
      </w:r>
    </w:p>
    <w:p>
      <w:pPr>
        <w:pStyle w:val="Normal"/>
        <w:spacing w:lineRule="auto" w:line="276" w:before="0" w:after="0"/>
        <w:ind w:firstLine="720"/>
        <w:jc w:val="both"/>
        <w:rPr>
          <w:rFonts w:ascii="Times New Roman" w:hAnsi="Times New Roman" w:cs="Times New Roman"/>
          <w:bCs/>
          <w:sz w:val="24"/>
          <w:szCs w:val="24"/>
        </w:rPr>
      </w:pPr>
      <w:r>
        <w:rPr>
          <w:rFonts w:cs="Times New Roman" w:ascii="Times New Roman" w:hAnsi="Times New Roman"/>
          <w:bCs/>
          <w:sz w:val="24"/>
          <w:szCs w:val="24"/>
        </w:rPr>
        <w:t xml:space="preserve">У складу са чланом 17. Правилника, Комисија задржава право да, привредног субјекта који није реализовао уговор са крајњим корисником у свему у складу са понудом, искључи са листе из става 9. овог члана, и то до краја реализације </w:t>
      </w:r>
      <w:r>
        <w:rPr>
          <w:rFonts w:cs="Times New Roman" w:ascii="Times New Roman" w:hAnsi="Times New Roman"/>
          <w:sz w:val="24"/>
          <w:szCs w:val="24"/>
        </w:rPr>
        <w:t>пројекта „Чиста енергија и енергетска ефикасност за грађане у Србији“.</w:t>
      </w:r>
      <w:r>
        <w:rPr>
          <w:rFonts w:cs="Times New Roman" w:ascii="Times New Roman" w:hAnsi="Times New Roman"/>
          <w:bCs/>
          <w:sz w:val="24"/>
          <w:szCs w:val="24"/>
        </w:rPr>
        <w:t xml:space="preserve">   </w:t>
      </w:r>
    </w:p>
    <w:p>
      <w:pPr>
        <w:pStyle w:val="Normal"/>
        <w:spacing w:lineRule="auto" w:line="240" w:before="0" w:after="0"/>
        <w:rPr/>
      </w:pPr>
      <w:r>
        <w:rPr/>
      </w:r>
    </w:p>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before="0" w:after="0"/>
        <w:jc w:val="center"/>
        <w:rPr>
          <w:rFonts w:ascii="Times New Roman" w:hAnsi="Times New Roman" w:eastAsia="Times New Roman" w:cs="Times New Roman"/>
          <w:b/>
          <w:b/>
          <w:bCs/>
          <w:sz w:val="24"/>
          <w:szCs w:val="24"/>
        </w:rPr>
      </w:pPr>
      <w:r>
        <w:rPr>
          <w:rFonts w:cs="Times New Roman" w:ascii="Times New Roman" w:hAnsi="Times New Roman"/>
          <w:b/>
          <w:sz w:val="24"/>
          <w:szCs w:val="24"/>
          <w:lang w:val="en-US"/>
        </w:rPr>
        <w:t>VIII</w:t>
      </w:r>
      <w:r>
        <w:rPr>
          <w:rFonts w:eastAsia="Times New Roman" w:cs="Times New Roman" w:ascii="Times New Roman" w:hAnsi="Times New Roman"/>
          <w:b/>
          <w:bCs/>
          <w:sz w:val="24"/>
          <w:szCs w:val="24"/>
        </w:rPr>
        <w:t xml:space="preserve">. ПОСТУПАК РЕАЛИЗАЦИЈЕ </w:t>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pPr>
        <w:pStyle w:val="ListParagraph"/>
        <w:numPr>
          <w:ilvl w:val="0"/>
          <w:numId w:val="1"/>
        </w:numPr>
        <w:spacing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Правилник о раду на пројекту“,</w:t>
      </w:r>
    </w:p>
    <w:p>
      <w:pPr>
        <w:pStyle w:val="ListParagraph"/>
        <w:numPr>
          <w:ilvl w:val="0"/>
          <w:numId w:val="1"/>
        </w:numPr>
        <w:spacing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План ангажовања заинтересованих страна“,</w:t>
      </w:r>
    </w:p>
    <w:p>
      <w:pPr>
        <w:pStyle w:val="ListParagraph"/>
        <w:numPr>
          <w:ilvl w:val="0"/>
          <w:numId w:val="1"/>
        </w:numPr>
        <w:spacing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План преузимања обавеза из области животне средине и социјалних питања (ESCP)“,</w:t>
      </w:r>
    </w:p>
    <w:p>
      <w:pPr>
        <w:pStyle w:val="ListParagraph"/>
        <w:numPr>
          <w:ilvl w:val="0"/>
          <w:numId w:val="1"/>
        </w:numPr>
        <w:spacing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Оквир за управљање заштитом животне средине и социјалним утицајима пројекта (ESMF)“ и</w:t>
      </w:r>
    </w:p>
    <w:p>
      <w:pPr>
        <w:pStyle w:val="ListParagraph"/>
        <w:numPr>
          <w:ilvl w:val="0"/>
          <w:numId w:val="1"/>
        </w:numPr>
        <w:spacing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Контролна листа плана за управљање животном средином и социјалним питањима (ESMP)“.</w:t>
      </w:r>
    </w:p>
    <w:p>
      <w:pPr>
        <w:pStyle w:val="Normal"/>
        <w:spacing w:before="0" w:after="0"/>
        <w:ind w:firstLine="720"/>
        <w:jc w:val="both"/>
        <w:rPr/>
      </w:pPr>
      <w:r>
        <w:rPr>
          <w:rFonts w:eastAsia="Times New Roman" w:cs="Times New Roman" w:ascii="Times New Roman" w:hAnsi="Times New Roman"/>
          <w:sz w:val="24"/>
          <w:szCs w:val="24"/>
        </w:rPr>
        <w:t>Сва документа су доступна на интернет страници Министарства: (</w:t>
      </w:r>
      <w:hyperlink r:id="rId4">
        <w:r>
          <w:rPr>
            <w:rStyle w:val="InternetLink"/>
            <w:rFonts w:eastAsia="Times New Roman" w:cs="Times New Roman" w:ascii="Times New Roman" w:hAnsi="Times New Roman"/>
            <w:sz w:val="24"/>
            <w:szCs w:val="24"/>
          </w:rPr>
          <w:t>https://www.mre.gov.rs</w:t>
        </w:r>
      </w:hyperlink>
      <w:r>
        <w:rPr>
          <w:rFonts w:eastAsia="Times New Roman" w:cs="Times New Roman" w:ascii="Times New Roman" w:hAnsi="Times New Roman"/>
          <w:sz w:val="24"/>
          <w:szCs w:val="24"/>
        </w:rPr>
        <w:t>).</w:t>
      </w:r>
    </w:p>
    <w:p>
      <w:pPr>
        <w:pStyle w:val="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ЈИП ће обезбедити</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стручну и техничку подршку током реализације пројектних активности.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Након објаве прве листе из става 7. поглавља </w:t>
      </w:r>
      <w:r>
        <w:rPr>
          <w:rFonts w:eastAsia="Times New Roman" w:cs="Times New Roman" w:ascii="Times New Roman" w:hAnsi="Times New Roman"/>
          <w:sz w:val="24"/>
          <w:szCs w:val="24"/>
          <w:lang w:val="en-US"/>
        </w:rPr>
        <w:t>VII</w:t>
      </w:r>
      <w:r>
        <w:rPr>
          <w:rFonts w:eastAsia="Times New Roman" w:cs="Times New Roman" w:ascii="Times New Roman" w:hAnsi="Times New Roman"/>
          <w:sz w:val="24"/>
          <w:szCs w:val="24"/>
        </w:rPr>
        <w:t xml:space="preserve"> Јавног позива, ЈЛС ће започети поступак одабира крајњих корисника (домаћинстава) путем Јавног позива.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Након </w:t>
      </w:r>
      <w:r>
        <w:rPr>
          <w:rFonts w:cs="Times New Roman" w:ascii="Times New Roman" w:hAnsi="Times New Roman"/>
          <w:sz w:val="24"/>
          <w:szCs w:val="24"/>
        </w:rPr>
        <w:t xml:space="preserve">утврђивања </w:t>
      </w:r>
      <w:r>
        <w:rPr>
          <w:rFonts w:eastAsia="Times New Roman" w:cs="Times New Roman" w:ascii="Times New Roman" w:hAnsi="Times New Roman"/>
          <w:sz w:val="24"/>
          <w:szCs w:val="24"/>
        </w:rPr>
        <w:t>услова за доделу средстава субвенције за појединачни пројекат крајњег корисника потписује се тројни уговори између ЈЛС, привредног субјекта и крајњег корисника о реализацији мера енергетске санације.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ЈЛС ће вршити пренос средстава искључиво директним корисницима, не крајњим корисницима, након што појединачни крајњи корисник изврши уплату целокупне своје обавезе и након завршетка радова.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
        <w:spacing w:before="0" w:after="0"/>
        <w:jc w:val="both"/>
        <w:rPr>
          <w:rFonts w:ascii="Times New Roman" w:hAnsi="Times New Roman" w:eastAsia="Times New Roman" w:cs="Times New Roman"/>
          <w:sz w:val="24"/>
          <w:szCs w:val="24"/>
        </w:rPr>
      </w:pPr>
      <w:bookmarkStart w:id="10" w:name="_Hlk66995067"/>
      <w:r>
        <w:rPr>
          <w:rFonts w:cs="Times New Roman" w:ascii="Times New Roman" w:hAnsi="Times New Roman"/>
          <w:bCs/>
          <w:sz w:val="24"/>
          <w:szCs w:val="24"/>
        </w:rPr>
        <w:tab/>
      </w:r>
      <w:bookmarkEnd w:id="10"/>
    </w:p>
    <w:p>
      <w:pPr>
        <w:pStyle w:val="Normal"/>
        <w:spacing w:before="0" w:after="0"/>
        <w:rPr/>
      </w:pPr>
      <w:r>
        <w:rPr>
          <w:rFonts w:cs="Times New Roman" w:ascii="Times New Roman" w:hAnsi="Times New Roman"/>
          <w:sz w:val="24"/>
          <w:szCs w:val="24"/>
        </w:rPr>
        <w:t xml:space="preserve">Број </w:t>
      </w:r>
      <w:r>
        <w:rPr>
          <w:rFonts w:cs="Times New Roman" w:ascii="Times New Roman" w:hAnsi="Times New Roman"/>
          <w:sz w:val="24"/>
          <w:szCs w:val="24"/>
          <w:lang w:val="sr-RS"/>
        </w:rPr>
        <w:t>020-5-107/2024-03</w:t>
      </w:r>
      <w:r>
        <w:rPr>
          <w:rFonts w:cs="Times New Roman" w:ascii="Times New Roman" w:hAnsi="Times New Roman"/>
          <w:sz w:val="24"/>
          <w:szCs w:val="24"/>
        </w:rPr>
        <w:t xml:space="preserve">                                                       </w:t>
      </w:r>
    </w:p>
    <w:p>
      <w:pPr>
        <w:pStyle w:val="Normal"/>
        <w:spacing w:before="0" w:after="0"/>
        <w:rPr/>
      </w:pPr>
      <w:r>
        <w:rPr>
          <w:rFonts w:cs="Times New Roman" w:ascii="Times New Roman" w:hAnsi="Times New Roman"/>
          <w:sz w:val="24"/>
          <w:szCs w:val="24"/>
        </w:rPr>
        <w:t xml:space="preserve">                                                                                                                                                                                                                               </w:t>
      </w:r>
      <w:r>
        <w:rPr>
          <w:rFonts w:cs="Times New Roman" w:ascii="Times New Roman" w:hAnsi="Times New Roman"/>
          <w:sz w:val="24"/>
          <w:szCs w:val="24"/>
        </w:rPr>
        <w:t xml:space="preserve">Ада, </w:t>
      </w:r>
      <w:bookmarkStart w:id="11" w:name="_GoBack"/>
      <w:bookmarkEnd w:id="11"/>
      <w:r>
        <w:rPr>
          <w:rFonts w:cs="Times New Roman" w:ascii="Times New Roman" w:hAnsi="Times New Roman"/>
          <w:sz w:val="24"/>
          <w:szCs w:val="24"/>
          <w:lang w:val="sr-RS"/>
        </w:rPr>
        <w:t>25.07.</w:t>
      </w:r>
      <w:r>
        <w:rPr>
          <w:rFonts w:cs="Times New Roman" w:ascii="Times New Roman" w:hAnsi="Times New Roman"/>
          <w:sz w:val="24"/>
          <w:szCs w:val="24"/>
        </w:rPr>
        <w:t>202</w:t>
      </w:r>
      <w:r>
        <w:rPr>
          <w:rFonts w:cs="Times New Roman" w:ascii="Times New Roman" w:hAnsi="Times New Roman"/>
          <w:sz w:val="24"/>
          <w:szCs w:val="24"/>
          <w:lang w:val="sr-Latn-RS"/>
        </w:rPr>
        <w:t>4</w:t>
      </w:r>
      <w:r>
        <w:rPr>
          <w:rFonts w:cs="Times New Roman" w:ascii="Times New Roman" w:hAnsi="Times New Roman"/>
          <w:sz w:val="24"/>
          <w:szCs w:val="24"/>
        </w:rPr>
        <w:t xml:space="preserve">. године  </w:t>
      </w:r>
      <w:r>
        <w:rPr/>
        <w:tab/>
        <w:tab/>
        <w:tab/>
        <w:tab/>
      </w:r>
      <w:r>
        <w:rPr>
          <w:rFonts w:cs="Times New Roman" w:ascii="Times New Roman" w:hAnsi="Times New Roman"/>
          <w:sz w:val="24"/>
          <w:szCs w:val="24"/>
        </w:rPr>
        <w:t xml:space="preserve">ПРЕДСЕДНИК КОМИСИЈЕ  </w:t>
      </w:r>
    </w:p>
    <w:p>
      <w:pPr>
        <w:pStyle w:val="Normal"/>
        <w:spacing w:before="0" w:after="0"/>
        <w:rPr/>
      </w:pPr>
      <w:r>
        <w:rPr>
          <w:rFonts w:cs="Times New Roman" w:ascii="Times New Roman" w:hAnsi="Times New Roman"/>
          <w:sz w:val="24"/>
          <w:szCs w:val="24"/>
        </w:rPr>
        <w:tab/>
        <w:tab/>
        <w:tab/>
        <w:tab/>
        <w:tab/>
        <w:tab/>
        <w:tab/>
      </w:r>
      <w:r>
        <w:rPr>
          <w:rFonts w:cs="Times New Roman" w:ascii="Times New Roman" w:hAnsi="Times New Roman"/>
          <w:sz w:val="24"/>
          <w:szCs w:val="24"/>
          <w:lang w:val="sr-RS"/>
        </w:rPr>
        <w:t>Тамара Панић с.р.</w:t>
      </w:r>
    </w:p>
    <w:sectPr>
      <w:headerReference w:type="default" r:id="rId5"/>
      <w:footerReference w:type="default" r:id="rId6"/>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3fe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c4675"/>
    <w:rPr>
      <w:b/>
      <w:bCs/>
    </w:rPr>
  </w:style>
  <w:style w:type="character" w:styleId="FootnoteCharacters" w:customStyle="1">
    <w:name w:val="Footnote Characters"/>
    <w:basedOn w:val="DefaultParagraphFont"/>
    <w:semiHidden/>
    <w:unhideWhenUsed/>
    <w:qFormat/>
    <w:rsid w:val="001c4675"/>
    <w:rPr>
      <w:vertAlign w:val="superscript"/>
    </w:rPr>
  </w:style>
  <w:style w:type="character" w:styleId="FootnoteAnchor" w:customStyle="1">
    <w:name w:val="Footnote Anchor"/>
    <w:rPr>
      <w:vertAlign w:val="superscript"/>
    </w:rPr>
  </w:style>
  <w:style w:type="character" w:styleId="FootnoteTextChar" w:customStyle="1">
    <w:name w:val="Footnote Text Char"/>
    <w:basedOn w:val="DefaultParagraphFont"/>
    <w:link w:val="FootnoteText"/>
    <w:qFormat/>
    <w:rsid w:val="008a6f6c"/>
    <w:rPr>
      <w:sz w:val="20"/>
      <w:szCs w:val="20"/>
      <w:lang w:val="en-GB"/>
    </w:rPr>
  </w:style>
  <w:style w:type="character" w:styleId="InternetLink" w:customStyle="1">
    <w:name w:val="Internet Link"/>
    <w:basedOn w:val="DefaultParagraphFont"/>
    <w:uiPriority w:val="99"/>
    <w:unhideWhenUsed/>
    <w:rsid w:val="008a6f6c"/>
    <w:rPr>
      <w:color w:val="0000FF"/>
      <w:u w:val="single"/>
    </w:rPr>
  </w:style>
  <w:style w:type="character" w:styleId="Annotationreference">
    <w:name w:val="annotation reference"/>
    <w:basedOn w:val="DefaultParagraphFont"/>
    <w:uiPriority w:val="99"/>
    <w:semiHidden/>
    <w:unhideWhenUsed/>
    <w:qFormat/>
    <w:rsid w:val="00452549"/>
    <w:rPr>
      <w:sz w:val="16"/>
      <w:szCs w:val="16"/>
    </w:rPr>
  </w:style>
  <w:style w:type="character" w:styleId="CommentTextChar" w:customStyle="1">
    <w:name w:val="Comment Text Char"/>
    <w:basedOn w:val="DefaultParagraphFont"/>
    <w:link w:val="CommentText"/>
    <w:uiPriority w:val="99"/>
    <w:qFormat/>
    <w:rsid w:val="00452549"/>
    <w:rPr>
      <w:rFonts w:ascii="Times New Roman" w:hAnsi="Times New Roman" w:eastAsia="Times New Roman" w:cs="Times New Roman"/>
      <w:sz w:val="20"/>
      <w:szCs w:val="20"/>
    </w:rPr>
  </w:style>
  <w:style w:type="character" w:styleId="UnresolvedMention1" w:customStyle="1">
    <w:name w:val="Unresolved Mention1"/>
    <w:basedOn w:val="DefaultParagraphFont"/>
    <w:uiPriority w:val="99"/>
    <w:semiHidden/>
    <w:unhideWhenUsed/>
    <w:qFormat/>
    <w:rsid w:val="00946562"/>
    <w:rPr>
      <w:color w:val="605E5C"/>
      <w:shd w:fill="E1DFDD" w:val="clear"/>
    </w:rPr>
  </w:style>
  <w:style w:type="character" w:styleId="CommentSubjectChar" w:customStyle="1">
    <w:name w:val="Comment Subject Char"/>
    <w:basedOn w:val="CommentTextChar"/>
    <w:link w:val="CommentSubject"/>
    <w:uiPriority w:val="99"/>
    <w:semiHidden/>
    <w:qFormat/>
    <w:rsid w:val="00862072"/>
    <w:rPr>
      <w:rFonts w:ascii="Times New Roman" w:hAnsi="Times New Roman" w:eastAsia="Times New Roman" w:cs="Times New Roman"/>
      <w:b/>
      <w:bCs/>
      <w:sz w:val="20"/>
      <w:szCs w:val="20"/>
      <w:lang w:val="en-GB"/>
    </w:rPr>
  </w:style>
  <w:style w:type="character" w:styleId="BalloonTextChar" w:customStyle="1">
    <w:name w:val="Balloon Text Char"/>
    <w:basedOn w:val="DefaultParagraphFont"/>
    <w:link w:val="BalloonText"/>
    <w:uiPriority w:val="99"/>
    <w:semiHidden/>
    <w:qFormat/>
    <w:rsid w:val="00e15884"/>
    <w:rPr>
      <w:rFonts w:ascii="Segoe UI" w:hAnsi="Segoe UI" w:cs="Segoe UI"/>
      <w:sz w:val="18"/>
      <w:szCs w:val="18"/>
      <w:lang w:val="en-GB"/>
    </w:rPr>
  </w:style>
  <w:style w:type="character" w:styleId="Markedcontent" w:customStyle="1">
    <w:name w:val="markedcontent"/>
    <w:basedOn w:val="DefaultParagraphFont"/>
    <w:qFormat/>
    <w:rsid w:val="006c694e"/>
    <w:rPr/>
  </w:style>
  <w:style w:type="character" w:styleId="HeaderChar" w:customStyle="1">
    <w:name w:val="Header Char"/>
    <w:basedOn w:val="DefaultParagraphFont"/>
    <w:link w:val="Header"/>
    <w:uiPriority w:val="99"/>
    <w:qFormat/>
    <w:rsid w:val="00271e14"/>
    <w:rPr>
      <w:lang w:val="en-GB"/>
    </w:rPr>
  </w:style>
  <w:style w:type="character" w:styleId="FooterChar" w:customStyle="1">
    <w:name w:val="Footer Char"/>
    <w:basedOn w:val="DefaultParagraphFont"/>
    <w:link w:val="Footer"/>
    <w:uiPriority w:val="99"/>
    <w:qFormat/>
    <w:rsid w:val="00271e14"/>
    <w:rPr>
      <w:lang w:val="en-GB"/>
    </w:rPr>
  </w:style>
  <w:style w:type="character" w:styleId="Tsalignmentelementhighlighted" w:customStyle="1">
    <w:name w:val="ts-alignment-element-highlighted"/>
    <w:basedOn w:val="DefaultParagraphFont"/>
    <w:qFormat/>
    <w:rsid w:val="00592c21"/>
    <w:rPr/>
  </w:style>
  <w:style w:type="character" w:styleId="Tsalignmentelement" w:customStyle="1">
    <w:name w:val="ts-alignment-element"/>
    <w:basedOn w:val="DefaultParagraphFont"/>
    <w:qFormat/>
    <w:rsid w:val="00592c21"/>
    <w:rPr/>
  </w:style>
  <w:style w:type="character" w:styleId="Normaltextrun" w:customStyle="1">
    <w:name w:val="normaltextrun"/>
    <w:basedOn w:val="DefaultParagraphFont"/>
    <w:qFormat/>
    <w:rsid w:val="002f4aaa"/>
    <w:rPr/>
  </w:style>
  <w:style w:type="character" w:styleId="Eop" w:customStyle="1">
    <w:name w:val="eop"/>
    <w:basedOn w:val="DefaultParagraphFont"/>
    <w:qFormat/>
    <w:rsid w:val="002f4aaa"/>
    <w:rPr/>
  </w:style>
  <w:style w:type="character" w:styleId="Cf01" w:customStyle="1">
    <w:name w:val="cf01"/>
    <w:basedOn w:val="DefaultParagraphFont"/>
    <w:qFormat/>
    <w:rsid w:val="00681936"/>
    <w:rPr>
      <w:rFonts w:ascii="Segoe UI" w:hAnsi="Segoe UI" w:cs="Segoe UI"/>
      <w:sz w:val="18"/>
      <w:szCs w:val="18"/>
    </w:rPr>
  </w:style>
  <w:style w:type="character" w:styleId="Cf11" w:customStyle="1">
    <w:name w:val="cf11"/>
    <w:basedOn w:val="DefaultParagraphFont"/>
    <w:qFormat/>
    <w:rsid w:val="00681936"/>
    <w:rPr>
      <w:rFonts w:ascii="Segoe UI" w:hAnsi="Segoe UI" w:cs="Segoe UI"/>
      <w:sz w:val="18"/>
      <w:szCs w:val="18"/>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alibri"/>
      <w:b w:val="false"/>
      <w:bCs w:val="false"/>
      <w:color w:val="FF0000"/>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Times New Roman"/>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sz w:val="22"/>
      <w:szCs w:val="22"/>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eastAsia="Times New Roman"/>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b w:val="false"/>
      <w:bCs w:val="false"/>
      <w:color w:val="FF0000"/>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b w:val="false"/>
      <w:bCs w:val="false"/>
      <w:color w:val="FF0000"/>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b w:val="false"/>
      <w:bCs w:val="false"/>
      <w:color w:val="FF0000"/>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Courier New"/>
    </w:rPr>
  </w:style>
  <w:style w:type="character" w:styleId="ListLabel61" w:customStyle="1">
    <w:name w:val="ListLabel 61"/>
    <w:qFormat/>
    <w:rPr>
      <w:rFonts w:cs="Courier New"/>
    </w:rPr>
  </w:style>
  <w:style w:type="character" w:styleId="ListLabel62" w:customStyle="1">
    <w:name w:val="ListLabel 62"/>
    <w:qFormat/>
    <w:rPr>
      <w:rFonts w:cs="Courier New"/>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rFonts w:cs="Courier New"/>
    </w:rPr>
  </w:style>
  <w:style w:type="character" w:styleId="ListLabel66" w:customStyle="1">
    <w:name w:val="ListLabel 66"/>
    <w:qFormat/>
    <w:rPr>
      <w:rFonts w:cs="Courier New"/>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sz w:val="20"/>
    </w:rPr>
  </w:style>
  <w:style w:type="character" w:styleId="ListLabel71" w:customStyle="1">
    <w:name w:val="ListLabel 71"/>
    <w:qFormat/>
    <w:rPr>
      <w:sz w:val="20"/>
    </w:rPr>
  </w:style>
  <w:style w:type="character" w:styleId="ListLabel72" w:customStyle="1">
    <w:name w:val="ListLabel 72"/>
    <w:qFormat/>
    <w:rPr>
      <w:sz w:val="20"/>
    </w:rPr>
  </w:style>
  <w:style w:type="character" w:styleId="ListLabel73" w:customStyle="1">
    <w:name w:val="ListLabel 73"/>
    <w:qFormat/>
    <w:rPr>
      <w:sz w:val="20"/>
    </w:rPr>
  </w:style>
  <w:style w:type="character" w:styleId="ListLabel74" w:customStyle="1">
    <w:name w:val="ListLabel 74"/>
    <w:qFormat/>
    <w:rPr>
      <w:sz w:val="20"/>
    </w:rPr>
  </w:style>
  <w:style w:type="character" w:styleId="ListLabel75" w:customStyle="1">
    <w:name w:val="ListLabel 75"/>
    <w:qFormat/>
    <w:rPr>
      <w:sz w:val="20"/>
    </w:rPr>
  </w:style>
  <w:style w:type="character" w:styleId="ListLabel76" w:customStyle="1">
    <w:name w:val="ListLabel 76"/>
    <w:qFormat/>
    <w:rPr>
      <w:rFonts w:cs="Courier New"/>
    </w:rPr>
  </w:style>
  <w:style w:type="character" w:styleId="ListLabel77" w:customStyle="1">
    <w:name w:val="ListLabel 77"/>
    <w:qFormat/>
    <w:rPr>
      <w:rFonts w:cs="Courier New"/>
    </w:rPr>
  </w:style>
  <w:style w:type="character" w:styleId="ListLabel78" w:customStyle="1">
    <w:name w:val="ListLabel 78"/>
    <w:qFormat/>
    <w:rPr>
      <w:rFonts w:cs="Courier New"/>
    </w:rPr>
  </w:style>
  <w:style w:type="character" w:styleId="ListLabel79" w:customStyle="1">
    <w:name w:val="ListLabel 79"/>
    <w:qFormat/>
    <w:rPr>
      <w:rFonts w:cs="Courier New"/>
    </w:rPr>
  </w:style>
  <w:style w:type="character" w:styleId="ListLabel80" w:customStyle="1">
    <w:name w:val="ListLabel 80"/>
    <w:qFormat/>
    <w:rPr>
      <w:rFonts w:cs="Courier New"/>
    </w:rPr>
  </w:style>
  <w:style w:type="character" w:styleId="ListLabel81" w:customStyle="1">
    <w:name w:val="ListLabel 81"/>
    <w:qFormat/>
    <w:rPr>
      <w:rFonts w:cs="Courier New"/>
    </w:rPr>
  </w:style>
  <w:style w:type="character" w:styleId="ListLabel82" w:customStyle="1">
    <w:name w:val="ListLabel 82"/>
    <w:qFormat/>
    <w:rPr>
      <w:rFonts w:cs="Courier New"/>
    </w:rPr>
  </w:style>
  <w:style w:type="character" w:styleId="ListLabel83" w:customStyle="1">
    <w:name w:val="ListLabel 83"/>
    <w:qFormat/>
    <w:rPr>
      <w:rFonts w:cs="Courier New"/>
    </w:rPr>
  </w:style>
  <w:style w:type="character" w:styleId="ListLabel84" w:customStyle="1">
    <w:name w:val="ListLabel 84"/>
    <w:qFormat/>
    <w:rPr>
      <w:rFonts w:cs="Courier New"/>
    </w:rPr>
  </w:style>
  <w:style w:type="character" w:styleId="ListLabel85" w:customStyle="1">
    <w:name w:val="ListLabel 85"/>
    <w:qFormat/>
    <w:rPr>
      <w:rFonts w:cs="Courier New"/>
    </w:rPr>
  </w:style>
  <w:style w:type="character" w:styleId="ListLabel86" w:customStyle="1">
    <w:name w:val="ListLabel 86"/>
    <w:qFormat/>
    <w:rPr>
      <w:rFonts w:cs="Courier New"/>
    </w:rPr>
  </w:style>
  <w:style w:type="character" w:styleId="ListLabel87" w:customStyle="1">
    <w:name w:val="ListLabel 87"/>
    <w:qFormat/>
    <w:rPr>
      <w:rFonts w:cs="Courier New"/>
    </w:rPr>
  </w:style>
  <w:style w:type="character" w:styleId="ListLabel88" w:customStyle="1">
    <w:name w:val="ListLabel 88"/>
    <w:qFormat/>
    <w:rPr>
      <w:rFonts w:eastAsia="Calibri" w:cs="Times New Roman"/>
    </w:rPr>
  </w:style>
  <w:style w:type="character" w:styleId="ListLabel89" w:customStyle="1">
    <w:name w:val="ListLabel 89"/>
    <w:qFormat/>
    <w:rPr>
      <w:rFonts w:cs="Courier New"/>
    </w:rPr>
  </w:style>
  <w:style w:type="character" w:styleId="ListLabel90" w:customStyle="1">
    <w:name w:val="ListLabel 90"/>
    <w:qFormat/>
    <w:rPr>
      <w:rFonts w:cs="Courier New"/>
    </w:rPr>
  </w:style>
  <w:style w:type="character" w:styleId="ListLabel91" w:customStyle="1">
    <w:name w:val="ListLabel 91"/>
    <w:qFormat/>
    <w:rPr>
      <w:rFonts w:cs="Courier New"/>
    </w:rPr>
  </w:style>
  <w:style w:type="character" w:styleId="ListLabel92" w:customStyle="1">
    <w:name w:val="ListLabel 92"/>
    <w:qFormat/>
    <w:rPr>
      <w:rFonts w:cs="Courier New"/>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eastAsia="Times New Roman" w:cs="Times New Roman"/>
    </w:rPr>
  </w:style>
  <w:style w:type="character" w:styleId="ListLabel96" w:customStyle="1">
    <w:name w:val="ListLabel 96"/>
    <w:qFormat/>
    <w:rPr>
      <w:rFonts w:cs="Courier New"/>
    </w:rPr>
  </w:style>
  <w:style w:type="character" w:styleId="ListLabel97" w:customStyle="1">
    <w:name w:val="ListLabel 97"/>
    <w:qFormat/>
    <w:rPr>
      <w:rFonts w:cs="Courier New"/>
    </w:rPr>
  </w:style>
  <w:style w:type="character" w:styleId="ListLabel98" w:customStyle="1">
    <w:name w:val="ListLabel 98"/>
    <w:qFormat/>
    <w:rPr>
      <w:rFonts w:cs="Courier New"/>
    </w:rPr>
  </w:style>
  <w:style w:type="character" w:styleId="ListLabel99" w:customStyle="1">
    <w:name w:val="ListLabel 99"/>
    <w:qFormat/>
    <w:rPr>
      <w:sz w:val="24"/>
      <w:szCs w:val="24"/>
    </w:rPr>
  </w:style>
  <w:style w:type="character" w:styleId="ListLabel100" w:customStyle="1">
    <w:name w:val="ListLabel 100"/>
    <w:qFormat/>
    <w:rPr>
      <w:rFonts w:cs="Courier New"/>
    </w:rPr>
  </w:style>
  <w:style w:type="character" w:styleId="ListLabel101" w:customStyle="1">
    <w:name w:val="ListLabel 101"/>
    <w:qFormat/>
    <w:rPr>
      <w:rFonts w:cs="Courier New"/>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cs="Courier New"/>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rFonts w:cs="Courier New"/>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cs="Courier New"/>
    </w:rPr>
  </w:style>
  <w:style w:type="character" w:styleId="ListLabel114" w:customStyle="1">
    <w:name w:val="ListLabel 114"/>
    <w:qFormat/>
    <w:rPr>
      <w:rFonts w:cs="Courier New"/>
    </w:rPr>
  </w:style>
  <w:style w:type="character" w:styleId="ListLabel115" w:customStyle="1">
    <w:name w:val="ListLabel 115"/>
    <w:qFormat/>
    <w:rPr>
      <w:rFonts w:ascii="Times New Roman" w:hAnsi="Times New Roman" w:eastAsia="Times New Roman" w:cs="Times New Roman"/>
      <w:sz w:val="24"/>
      <w:szCs w:val="24"/>
      <w:lang w:val="sr-Latn-CS"/>
    </w:rPr>
  </w:style>
  <w:style w:type="character" w:styleId="ListLabel116" w:customStyle="1">
    <w:name w:val="ListLabel 116"/>
    <w:qFormat/>
    <w:rPr>
      <w:rFonts w:ascii="Times New Roman" w:hAnsi="Times New Roman" w:cs="Times New Roman"/>
      <w:sz w:val="24"/>
      <w:szCs w:val="24"/>
    </w:rPr>
  </w:style>
  <w:style w:type="character" w:styleId="ListLabel117" w:customStyle="1">
    <w:name w:val="ListLabel 117"/>
    <w:qFormat/>
    <w:rPr>
      <w:rFonts w:ascii="Times New Roman" w:hAnsi="Times New Roman" w:eastAsia="Times New Roman" w:cs="Times New Roman"/>
      <w:sz w:val="24"/>
      <w:szCs w:val="24"/>
    </w:rPr>
  </w:style>
  <w:style w:type="character" w:styleId="ListLabel118" w:customStyle="1">
    <w:name w:val="ListLabel 118"/>
    <w:qFormat/>
    <w:rPr>
      <w:rFonts w:ascii="Times New Roman" w:hAnsi="Times New Roman" w:cs="Symbol"/>
      <w:sz w:val="24"/>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ascii="Times New Roman" w:hAnsi="Times New Roman" w:cs="Symbol"/>
      <w:sz w:val="24"/>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Symbol"/>
    </w:rPr>
  </w:style>
  <w:style w:type="character" w:styleId="ListLabel131" w:customStyle="1">
    <w:name w:val="ListLabel 131"/>
    <w:qFormat/>
    <w:rPr>
      <w:rFonts w:cs="Courier New"/>
    </w:rPr>
  </w:style>
  <w:style w:type="character" w:styleId="ListLabel132" w:customStyle="1">
    <w:name w:val="ListLabel 132"/>
    <w:qFormat/>
    <w:rPr>
      <w:rFonts w:cs="Wingdings"/>
    </w:rPr>
  </w:style>
  <w:style w:type="character" w:styleId="ListLabel133" w:customStyle="1">
    <w:name w:val="ListLabel 133"/>
    <w:qFormat/>
    <w:rPr>
      <w:rFonts w:cs="Symbol"/>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rFonts w:ascii="Times New Roman" w:hAnsi="Times New Roman" w:cs="Symbol"/>
      <w:b/>
      <w:sz w:val="24"/>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ascii="Times New Roman" w:hAnsi="Times New Roman" w:cs="Symbol"/>
      <w:sz w:val="24"/>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Times New Roman" w:hAnsi="Times New Roman" w:eastAsia="Times New Roman" w:cs="Times New Roman"/>
      <w:sz w:val="24"/>
      <w:szCs w:val="24"/>
      <w:lang w:val="sr-Latn-CS"/>
    </w:rPr>
  </w:style>
  <w:style w:type="character" w:styleId="ListLabel155" w:customStyle="1">
    <w:name w:val="ListLabel 155"/>
    <w:qFormat/>
    <w:rPr>
      <w:rFonts w:ascii="Times New Roman" w:hAnsi="Times New Roman" w:cs="Times New Roman"/>
      <w:sz w:val="24"/>
      <w:szCs w:val="24"/>
    </w:rPr>
  </w:style>
  <w:style w:type="character" w:styleId="ListLabel156" w:customStyle="1">
    <w:name w:val="ListLabel 156"/>
    <w:qFormat/>
    <w:rPr>
      <w:rFonts w:ascii="Times New Roman" w:hAnsi="Times New Roman" w:eastAsia="Times New Roman" w:cs="Times New Roman"/>
      <w:sz w:val="24"/>
      <w:szCs w:val="24"/>
    </w:rPr>
  </w:style>
  <w:style w:type="character" w:styleId="ListLabel157" w:customStyle="1">
    <w:name w:val="ListLabel 157"/>
    <w:qFormat/>
    <w:rPr>
      <w:rFonts w:ascii="Times New Roman" w:hAnsi="Times New Roman" w:cs="Symbol"/>
      <w:sz w:val="24"/>
    </w:rPr>
  </w:style>
  <w:style w:type="character" w:styleId="ListLabel158" w:customStyle="1">
    <w:name w:val="ListLabel 158"/>
    <w:qFormat/>
    <w:rPr>
      <w:rFonts w:cs="Courier New"/>
    </w:rPr>
  </w:style>
  <w:style w:type="character" w:styleId="ListLabel159" w:customStyle="1">
    <w:name w:val="ListLabel 159"/>
    <w:qFormat/>
    <w:rPr>
      <w:rFonts w:cs="Wingdings"/>
    </w:rPr>
  </w:style>
  <w:style w:type="character" w:styleId="ListLabel160" w:customStyle="1">
    <w:name w:val="ListLabel 160"/>
    <w:qFormat/>
    <w:rPr>
      <w:rFonts w:cs="Symbol"/>
    </w:rPr>
  </w:style>
  <w:style w:type="character" w:styleId="ListLabel161" w:customStyle="1">
    <w:name w:val="ListLabel 161"/>
    <w:qFormat/>
    <w:rPr>
      <w:rFonts w:cs="Courier New"/>
    </w:rPr>
  </w:style>
  <w:style w:type="character" w:styleId="ListLabel162" w:customStyle="1">
    <w:name w:val="ListLabel 162"/>
    <w:qFormat/>
    <w:rPr>
      <w:rFonts w:cs="Wingdings"/>
    </w:rPr>
  </w:style>
  <w:style w:type="character" w:styleId="ListLabel163" w:customStyle="1">
    <w:name w:val="ListLabel 163"/>
    <w:qFormat/>
    <w:rPr>
      <w:rFonts w:cs="Symbol"/>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ascii="Times New Roman" w:hAnsi="Times New Roman" w:cs="Symbol"/>
      <w:sz w:val="24"/>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ListLabel172" w:customStyle="1">
    <w:name w:val="ListLabel 172"/>
    <w:qFormat/>
    <w:rPr>
      <w:rFonts w:cs="Symbol"/>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ascii="Times New Roman" w:hAnsi="Times New Roman" w:cs="Symbol"/>
      <w:b/>
      <w:sz w:val="24"/>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cs="Symbol"/>
    </w:rPr>
  </w:style>
  <w:style w:type="character" w:styleId="ListLabel182" w:customStyle="1">
    <w:name w:val="ListLabel 182"/>
    <w:qFormat/>
    <w:rPr>
      <w:rFonts w:cs="Courier New"/>
    </w:rPr>
  </w:style>
  <w:style w:type="character" w:styleId="ListLabel183" w:customStyle="1">
    <w:name w:val="ListLabel 183"/>
    <w:qFormat/>
    <w:rPr>
      <w:rFonts w:cs="Wingdings"/>
    </w:rPr>
  </w:style>
  <w:style w:type="character" w:styleId="ListLabel184" w:customStyle="1">
    <w:name w:val="ListLabel 184"/>
    <w:qFormat/>
    <w:rPr>
      <w:rFonts w:ascii="Times New Roman" w:hAnsi="Times New Roman" w:cs="Symbol"/>
      <w:sz w:val="24"/>
    </w:rPr>
  </w:style>
  <w:style w:type="character" w:styleId="ListLabel185" w:customStyle="1">
    <w:name w:val="ListLabel 185"/>
    <w:qFormat/>
    <w:rPr>
      <w:rFonts w:cs="Courier New"/>
    </w:rPr>
  </w:style>
  <w:style w:type="character" w:styleId="ListLabel186" w:customStyle="1">
    <w:name w:val="ListLabel 186"/>
    <w:qFormat/>
    <w:rPr>
      <w:rFonts w:cs="Wingdings"/>
    </w:rPr>
  </w:style>
  <w:style w:type="character" w:styleId="ListLabel187" w:customStyle="1">
    <w:name w:val="ListLabel 187"/>
    <w:qFormat/>
    <w:rPr>
      <w:rFonts w:cs="Symbol"/>
    </w:rPr>
  </w:style>
  <w:style w:type="character" w:styleId="ListLabel188" w:customStyle="1">
    <w:name w:val="ListLabel 188"/>
    <w:qFormat/>
    <w:rPr>
      <w:rFonts w:cs="Courier New"/>
    </w:rPr>
  </w:style>
  <w:style w:type="character" w:styleId="ListLabel189" w:customStyle="1">
    <w:name w:val="ListLabel 189"/>
    <w:qFormat/>
    <w:rPr>
      <w:rFonts w:cs="Wingdings"/>
    </w:rPr>
  </w:style>
  <w:style w:type="character" w:styleId="ListLabel190" w:customStyle="1">
    <w:name w:val="ListLabel 190"/>
    <w:qFormat/>
    <w:rPr>
      <w:rFonts w:cs="Symbol"/>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ascii="Times New Roman" w:hAnsi="Times New Roman" w:eastAsia="Times New Roman" w:cs="Times New Roman"/>
      <w:sz w:val="24"/>
      <w:szCs w:val="24"/>
      <w:lang w:val="sr-Latn-CS"/>
    </w:rPr>
  </w:style>
  <w:style w:type="character" w:styleId="ListLabel194" w:customStyle="1">
    <w:name w:val="ListLabel 194"/>
    <w:qFormat/>
    <w:rPr>
      <w:rFonts w:ascii="Times New Roman" w:hAnsi="Times New Roman" w:cs="Times New Roman"/>
      <w:sz w:val="24"/>
      <w:szCs w:val="24"/>
      <w:shd w:fill="FFFFFF" w:val="clear"/>
      <w:lang w:val="hr-HR"/>
    </w:rPr>
  </w:style>
  <w:style w:type="character" w:styleId="ListLabel195" w:customStyle="1">
    <w:name w:val="ListLabel 195"/>
    <w:qFormat/>
    <w:rPr>
      <w:rFonts w:ascii="Times New Roman" w:hAnsi="Times New Roman" w:eastAsia="Times New Roman" w:cs="Times New Roman"/>
      <w:sz w:val="24"/>
      <w:szCs w:val="24"/>
    </w:rPr>
  </w:style>
  <w:style w:type="character" w:styleId="ListLabel196" w:customStyle="1">
    <w:name w:val="ListLabel 196"/>
    <w:qFormat/>
    <w:rPr>
      <w:rFonts w:ascii="Times New Roman" w:hAnsi="Times New Roman" w:cs="Symbol"/>
      <w:sz w:val="24"/>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cs="Symbol"/>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ascii="Times New Roman" w:hAnsi="Times New Roman" w:cs="Symbol"/>
      <w:sz w:val="24"/>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cs="Symbol"/>
    </w:rPr>
  </w:style>
  <w:style w:type="character" w:styleId="ListLabel209" w:customStyle="1">
    <w:name w:val="ListLabel 209"/>
    <w:qFormat/>
    <w:rPr>
      <w:rFonts w:cs="Courier New"/>
    </w:rPr>
  </w:style>
  <w:style w:type="character" w:styleId="ListLabel210" w:customStyle="1">
    <w:name w:val="ListLabel 210"/>
    <w:qFormat/>
    <w:rPr>
      <w:rFonts w:cs="Wingdings"/>
    </w:rPr>
  </w:style>
  <w:style w:type="character" w:styleId="ListLabel211" w:customStyle="1">
    <w:name w:val="ListLabel 211"/>
    <w:qFormat/>
    <w:rPr>
      <w:rFonts w:cs="Symbol"/>
    </w:rPr>
  </w:style>
  <w:style w:type="character" w:styleId="ListLabel212" w:customStyle="1">
    <w:name w:val="ListLabel 212"/>
    <w:qFormat/>
    <w:rPr>
      <w:rFonts w:cs="Courier New"/>
    </w:rPr>
  </w:style>
  <w:style w:type="character" w:styleId="ListLabel213" w:customStyle="1">
    <w:name w:val="ListLabel 213"/>
    <w:qFormat/>
    <w:rPr>
      <w:rFonts w:cs="Wingdings"/>
    </w:rPr>
  </w:style>
  <w:style w:type="character" w:styleId="ListLabel214" w:customStyle="1">
    <w:name w:val="ListLabel 214"/>
    <w:qFormat/>
    <w:rPr>
      <w:rFonts w:ascii="Times New Roman" w:hAnsi="Times New Roman" w:cs="Symbol"/>
      <w:b/>
      <w:sz w:val="24"/>
    </w:rPr>
  </w:style>
  <w:style w:type="character" w:styleId="ListLabel215" w:customStyle="1">
    <w:name w:val="ListLabel 215"/>
    <w:qFormat/>
    <w:rPr>
      <w:rFonts w:cs="Courier New"/>
    </w:rPr>
  </w:style>
  <w:style w:type="character" w:styleId="ListLabel216" w:customStyle="1">
    <w:name w:val="ListLabel 216"/>
    <w:qFormat/>
    <w:rPr>
      <w:rFonts w:cs="Wingdings"/>
    </w:rPr>
  </w:style>
  <w:style w:type="character" w:styleId="ListLabel217" w:customStyle="1">
    <w:name w:val="ListLabel 217"/>
    <w:qFormat/>
    <w:rPr>
      <w:rFonts w:cs="Symbol"/>
    </w:rPr>
  </w:style>
  <w:style w:type="character" w:styleId="ListLabel218" w:customStyle="1">
    <w:name w:val="ListLabel 218"/>
    <w:qFormat/>
    <w:rPr>
      <w:rFonts w:cs="Courier New"/>
    </w:rPr>
  </w:style>
  <w:style w:type="character" w:styleId="ListLabel219" w:customStyle="1">
    <w:name w:val="ListLabel 219"/>
    <w:qFormat/>
    <w:rPr>
      <w:rFonts w:cs="Wingdings"/>
    </w:rPr>
  </w:style>
  <w:style w:type="character" w:styleId="ListLabel220" w:customStyle="1">
    <w:name w:val="ListLabel 220"/>
    <w:qFormat/>
    <w:rPr>
      <w:rFonts w:cs="Symbol"/>
    </w:rPr>
  </w:style>
  <w:style w:type="character" w:styleId="ListLabel221" w:customStyle="1">
    <w:name w:val="ListLabel 221"/>
    <w:qFormat/>
    <w:rPr>
      <w:rFonts w:cs="Courier New"/>
    </w:rPr>
  </w:style>
  <w:style w:type="character" w:styleId="ListLabel222" w:customStyle="1">
    <w:name w:val="ListLabel 222"/>
    <w:qFormat/>
    <w:rPr>
      <w:rFonts w:cs="Wingdings"/>
    </w:rPr>
  </w:style>
  <w:style w:type="character" w:styleId="ListLabel223" w:customStyle="1">
    <w:name w:val="ListLabel 223"/>
    <w:qFormat/>
    <w:rPr>
      <w:rFonts w:ascii="Times New Roman" w:hAnsi="Times New Roman" w:cs="Symbol"/>
      <w:sz w:val="24"/>
    </w:rPr>
  </w:style>
  <w:style w:type="character" w:styleId="ListLabel224" w:customStyle="1">
    <w:name w:val="ListLabel 224"/>
    <w:qFormat/>
    <w:rPr>
      <w:rFonts w:cs="Courier New"/>
    </w:rPr>
  </w:style>
  <w:style w:type="character" w:styleId="ListLabel225" w:customStyle="1">
    <w:name w:val="ListLabel 225"/>
    <w:qFormat/>
    <w:rPr>
      <w:rFonts w:cs="Wingdings"/>
    </w:rPr>
  </w:style>
  <w:style w:type="character" w:styleId="ListLabel226" w:customStyle="1">
    <w:name w:val="ListLabel 226"/>
    <w:qFormat/>
    <w:rPr>
      <w:rFonts w:cs="Symbol"/>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ascii="Times New Roman" w:hAnsi="Times New Roman" w:eastAsia="Times New Roman" w:cs="Times New Roman"/>
      <w:sz w:val="24"/>
      <w:szCs w:val="24"/>
      <w:lang w:val="sr-Latn-CS"/>
    </w:rPr>
  </w:style>
  <w:style w:type="character" w:styleId="ListLabel233" w:customStyle="1">
    <w:name w:val="ListLabel 233"/>
    <w:qFormat/>
    <w:rPr>
      <w:rFonts w:ascii="Times New Roman" w:hAnsi="Times New Roman" w:cs="Times New Roman"/>
      <w:sz w:val="24"/>
      <w:szCs w:val="24"/>
      <w:shd w:fill="FFFFFF" w:val="clear"/>
      <w:lang w:val="hr-HR"/>
    </w:rPr>
  </w:style>
  <w:style w:type="character" w:styleId="ListLabel234" w:customStyle="1">
    <w:name w:val="ListLabel 234"/>
    <w:qFormat/>
    <w:rPr>
      <w:rFonts w:ascii="Times New Roman" w:hAnsi="Times New Roman" w:eastAsia="Times New Roman" w:cs="Times New Roman"/>
      <w:sz w:val="24"/>
      <w:szCs w:val="24"/>
    </w:rPr>
  </w:style>
  <w:style w:type="character" w:styleId="ListLabel235">
    <w:name w:val="ListLabel 235"/>
    <w:qFormat/>
    <w:rPr>
      <w:rFonts w:ascii="Times New Roman" w:hAnsi="Times New Roman" w:cs="Symbol"/>
      <w:sz w:val="24"/>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ascii="Times New Roman" w:hAnsi="Times New Roman" w:cs="Symbol"/>
      <w:sz w:val="24"/>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ascii="Times New Roman" w:hAnsi="Times New Roman" w:cs="Symbol"/>
      <w:b/>
      <w:sz w:val="24"/>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Times New Roman" w:hAnsi="Times New Roman" w:cs="Symbol"/>
      <w:sz w:val="24"/>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Times New Roman" w:hAnsi="Times New Roman" w:eastAsia="Times New Roman" w:cs="Times New Roman"/>
      <w:sz w:val="24"/>
      <w:szCs w:val="24"/>
      <w:lang w:val="sr-Latn-CS"/>
    </w:rPr>
  </w:style>
  <w:style w:type="character" w:styleId="ListLabel272">
    <w:name w:val="ListLabel 272"/>
    <w:qFormat/>
    <w:rPr>
      <w:rFonts w:ascii="Times New Roman" w:hAnsi="Times New Roman" w:cs="Times New Roman"/>
      <w:b w:val="false"/>
      <w:bCs w:val="false"/>
      <w:sz w:val="24"/>
      <w:szCs w:val="24"/>
      <w:shd w:fill="FFFFFF" w:val="clear"/>
      <w:lang w:val="hr-HR"/>
    </w:rPr>
  </w:style>
  <w:style w:type="character" w:styleId="ListLabel273">
    <w:name w:val="ListLabel 273"/>
    <w:qFormat/>
    <w:rPr>
      <w:rFonts w:ascii="Times New Roman" w:hAnsi="Times New Roman" w:eastAsia="Times New Roman" w:cs="Times New Roman"/>
      <w:sz w:val="24"/>
      <w:szCs w:val="24"/>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next w:val="Normal"/>
    <w:uiPriority w:val="35"/>
    <w:unhideWhenUsed/>
    <w:qFormat/>
    <w:rsid w:val="00db4545"/>
    <w:pPr>
      <w:spacing w:lineRule="auto" w:line="240" w:before="0" w:after="200"/>
    </w:pPr>
    <w:rPr>
      <w:i/>
      <w:iCs/>
      <w:color w:val="44546A" w:themeColor="text2"/>
      <w:sz w:val="18"/>
      <w:szCs w:val="18"/>
    </w:rPr>
  </w:style>
  <w:style w:type="paragraph" w:styleId="ListParagraph">
    <w:name w:val="List Paragraph"/>
    <w:basedOn w:val="Normal"/>
    <w:uiPriority w:val="34"/>
    <w:qFormat/>
    <w:rsid w:val="00db4545"/>
    <w:pPr>
      <w:spacing w:before="0" w:after="160"/>
      <w:ind w:left="720" w:hanging="0"/>
      <w:contextualSpacing/>
    </w:pPr>
    <w:rPr/>
  </w:style>
  <w:style w:type="paragraph" w:styleId="Footnote">
    <w:name w:val="Footnote Text"/>
    <w:basedOn w:val="Normal"/>
    <w:link w:val="FootnoteTextChar"/>
    <w:unhideWhenUsed/>
    <w:rsid w:val="008a6f6c"/>
    <w:pPr>
      <w:spacing w:lineRule="auto" w:line="240" w:before="0" w:after="0"/>
    </w:pPr>
    <w:rPr>
      <w:sz w:val="20"/>
      <w:szCs w:val="20"/>
    </w:rPr>
  </w:style>
  <w:style w:type="paragraph" w:styleId="Default" w:customStyle="1">
    <w:name w:val="Default"/>
    <w:qFormat/>
    <w:rsid w:val="008a6f6c"/>
    <w:pPr>
      <w:widowControl/>
      <w:bidi w:val="0"/>
      <w:jc w:val="left"/>
    </w:pPr>
    <w:rPr>
      <w:rFonts w:ascii="Arial" w:hAnsi="Arial" w:eastAsia="Calibri" w:cs="Arial"/>
      <w:color w:val="000000"/>
      <w:kern w:val="0"/>
      <w:sz w:val="24"/>
      <w:szCs w:val="24"/>
      <w:lang w:val="sr-Latn-RS" w:eastAsia="en-US" w:bidi="ar-SA"/>
    </w:rPr>
  </w:style>
  <w:style w:type="paragraph" w:styleId="Annotationtext">
    <w:name w:val="annotation text"/>
    <w:basedOn w:val="Normal"/>
    <w:link w:val="CommentTextChar"/>
    <w:uiPriority w:val="99"/>
    <w:unhideWhenUsed/>
    <w:qFormat/>
    <w:rsid w:val="00452549"/>
    <w:pPr>
      <w:spacing w:lineRule="auto" w:line="240" w:before="0" w:after="0"/>
    </w:pPr>
    <w:rPr>
      <w:rFonts w:ascii="Times New Roman" w:hAnsi="Times New Roman" w:eastAsia="Times New Roman" w:cs="Times New Roman"/>
      <w:sz w:val="20"/>
      <w:szCs w:val="20"/>
      <w:lang w:val="en-US"/>
    </w:rPr>
  </w:style>
  <w:style w:type="paragraph" w:styleId="Annotationsubject">
    <w:name w:val="annotation subject"/>
    <w:basedOn w:val="Annotationtext"/>
    <w:next w:val="Annotationtext"/>
    <w:link w:val="CommentSubjectChar"/>
    <w:uiPriority w:val="99"/>
    <w:semiHidden/>
    <w:unhideWhenUsed/>
    <w:qFormat/>
    <w:rsid w:val="00862072"/>
    <w:pPr>
      <w:spacing w:before="0" w:after="160"/>
    </w:pPr>
    <w:rPr>
      <w:rFonts w:ascii="Calibri" w:hAnsi="Calibri" w:eastAsia="Calibri" w:cs="" w:asciiTheme="minorHAnsi" w:cstheme="minorBidi" w:eastAsiaTheme="minorHAnsi" w:hAnsiTheme="minorHAnsi"/>
      <w:b/>
      <w:bCs/>
      <w:lang w:val="en-GB"/>
    </w:rPr>
  </w:style>
  <w:style w:type="paragraph" w:styleId="BalloonText">
    <w:name w:val="Balloon Text"/>
    <w:basedOn w:val="Normal"/>
    <w:link w:val="BalloonTextChar"/>
    <w:uiPriority w:val="99"/>
    <w:semiHidden/>
    <w:unhideWhenUsed/>
    <w:qFormat/>
    <w:rsid w:val="00e15884"/>
    <w:pPr>
      <w:spacing w:lineRule="auto" w:line="240" w:before="0" w:after="0"/>
    </w:pPr>
    <w:rPr>
      <w:rFonts w:ascii="Segoe UI" w:hAnsi="Segoe UI" w:cs="Segoe UI"/>
      <w:sz w:val="18"/>
      <w:szCs w:val="18"/>
    </w:rPr>
  </w:style>
  <w:style w:type="paragraph" w:styleId="NoSpacing">
    <w:name w:val="No Spacing"/>
    <w:uiPriority w:val="1"/>
    <w:qFormat/>
    <w:rsid w:val="0024474c"/>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Revision">
    <w:name w:val="Revision"/>
    <w:uiPriority w:val="99"/>
    <w:semiHidden/>
    <w:qFormat/>
    <w:rsid w:val="009076a1"/>
    <w:pPr>
      <w:widowControl/>
      <w:bidi w:val="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er">
    <w:name w:val="Header"/>
    <w:basedOn w:val="Normal"/>
    <w:link w:val="HeaderChar"/>
    <w:uiPriority w:val="99"/>
    <w:unhideWhenUsed/>
    <w:rsid w:val="00271e14"/>
    <w:pPr>
      <w:tabs>
        <w:tab w:val="center" w:pos="4703" w:leader="none"/>
        <w:tab w:val="right" w:pos="9406" w:leader="none"/>
      </w:tabs>
      <w:spacing w:lineRule="auto" w:line="240" w:before="0" w:after="0"/>
    </w:pPr>
    <w:rPr/>
  </w:style>
  <w:style w:type="paragraph" w:styleId="Footer">
    <w:name w:val="Footer"/>
    <w:basedOn w:val="Normal"/>
    <w:link w:val="FooterChar"/>
    <w:uiPriority w:val="99"/>
    <w:unhideWhenUsed/>
    <w:rsid w:val="00271e14"/>
    <w:pPr>
      <w:tabs>
        <w:tab w:val="center" w:pos="4703" w:leader="none"/>
        <w:tab w:val="right" w:pos="94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b4545"/>
    <w:rPr>
      <w:lang w:val="sr-Cyrl-R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re.gov.rs/" TargetMode="External"/><Relationship Id="rId3" Type="http://schemas.openxmlformats.org/officeDocument/2006/relationships/hyperlink" Target="mailto:energetika@pirot.rs" TargetMode="External"/><Relationship Id="rId4" Type="http://schemas.openxmlformats.org/officeDocument/2006/relationships/hyperlink" Target="https://www.mre.gov.rs/"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69ef7f11307990c150ae06860ed5a2f6">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7e8b347cbab442fefb7d6780a81d1de5"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e14a5-88d0-4815-b116-782feb2ef4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2404-1FD1-41A7-B3D3-BC5E263DC05F}">
  <ds:schemaRefs>
    <ds:schemaRef ds:uri="http://schemas.microsoft.com/sharepoint/v3/contenttype/forms"/>
  </ds:schemaRefs>
</ds:datastoreItem>
</file>

<file path=customXml/itemProps2.xml><?xml version="1.0" encoding="utf-8"?>
<ds:datastoreItem xmlns:ds="http://schemas.openxmlformats.org/officeDocument/2006/customXml" ds:itemID="{84AE8178-9015-49D0-91B5-74A6CD0FF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07DF0-734A-4742-AE50-243D1E3B608A}">
  <ds:schemaRefs>
    <ds:schemaRef ds:uri="http://schemas.microsoft.com/office/2006/metadata/properties"/>
    <ds:schemaRef ds:uri="http://schemas.microsoft.com/office/infopath/2007/PartnerControls"/>
    <ds:schemaRef ds:uri="e44e14a5-88d0-4815-b116-782feb2ef42c"/>
  </ds:schemaRefs>
</ds:datastoreItem>
</file>

<file path=customXml/itemProps4.xml><?xml version="1.0" encoding="utf-8"?>
<ds:datastoreItem xmlns:ds="http://schemas.openxmlformats.org/officeDocument/2006/customXml" ds:itemID="{B2104B8D-7DC0-479D-9A98-B2DFAD69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Application>LibreOffice/6.1.0.3$Windows_x86 LibreOffice_project/efb621ed25068d70781dc026f7e9c5187a4decd1</Application>
  <Pages>7</Pages>
  <Words>2334</Words>
  <Characters>13717</Characters>
  <CharactersWithSpaces>16309</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2024-05-27T11:29:00Z</dcterms:created>
  <dc:creator>HP EliteBook 840 G3</dc:creator>
  <dc:description/>
  <dc:language>en-US</dc:language>
  <cp:lastModifiedBy/>
  <cp:lastPrinted>2024-07-26T11:55:11Z</cp:lastPrinted>
  <dcterms:modified xsi:type="dcterms:W3CDTF">2024-07-26T12:27:59Z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0x01010077682343E59CEC4C9A59A0DB7E2B4111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